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pPr>
      <w:r>
        <w:rPr>
          <w:b/>
          <w:color w:val="19758A"/>
          <w:sz w:val="18"/>
        </w:rPr>
        <w:t>INSTRUCTOR-ONLY COMPLETED-PROJECT KEY</w:t>
      </w:r>
    </w:p>
    <w:p>
      <w:pPr>
        <w:pStyle w:val="Title"/>
      </w:pPr>
      <w:r>
        <w:t>Introduction to Drone Remote Sensing</w:t>
      </w:r>
    </w:p>
    <w:p>
      <w:pPr>
        <w:pStyle w:val="Subtitle"/>
        <w:spacing w:after="360"/>
      </w:pPr>
      <w:r>
        <w:t>Completed Marshview Wetland Investigation and Capstone Model</w:t>
      </w:r>
    </w:p>
    <w:tbl>
      <w:tblPr>
        <w:tblW w:type="auto" w:w="0"/>
        <w:jc w:val="center"/>
        <w:tblLayout w:type="fixed"/>
        <w:tblLook w:firstColumn="1" w:firstRow="1" w:lastColumn="0" w:lastRow="0" w:noHBand="0" w:noVBand="1" w:val="04A0"/>
      </w:tblPr>
      <w:tblGrid>
        <w:gridCol w:w="10166"/>
      </w:tblGrid>
      <w:tr>
        <w:tc>
          <w:tcPr>
            <w:tcW w:type="dxa" w:w="9864"/>
            <w:shd w:fill="EEF3EF"/>
          </w:tcPr>
          <w:p>
            <w:pPr>
              <w:spacing w:after="60"/>
            </w:pPr>
            <w:r>
              <w:rPr>
                <w:b/>
                <w:color w:val="173F52"/>
              </w:rPr>
              <w:t>Purpose of this key</w:t>
            </w:r>
          </w:p>
          <w:p>
            <w:pPr>
              <w:spacing w:after="0"/>
            </w:pPr>
            <w:r>
              <w:t>Use this model to calibrate scoring, show the expected depth of reasoning after students submit, and identify acceptable evidence-based variations. It is not intended as a script students must copy.</w:t>
            </w:r>
          </w:p>
        </w:tc>
      </w:tr>
    </w:tbl>
    <w:p>
      <w:pPr>
        <w:pStyle w:val="Heading1"/>
      </w:pPr>
      <w:r>
        <w:t>At a glance</w:t>
      </w:r>
    </w:p>
    <w:tbl>
      <w:tblPr>
        <w:tblStyle w:val="TableGrid"/>
        <w:tblW w:type="auto" w:w="0"/>
        <w:jc w:val="center"/>
        <w:tblLook w:firstColumn="1" w:firstRow="1" w:lastColumn="0" w:lastRow="0" w:noHBand="0" w:noVBand="1" w:val="04A0"/>
      </w:tblPr>
      <w:tblGrid>
        <w:gridCol w:w="5083"/>
        <w:gridCol w:w="5083"/>
      </w:tblGrid>
      <w:tr>
        <w:tc>
          <w:tcPr>
            <w:tcW w:type="dxa" w:w="5083"/>
            <w:shd w:fill="EEF3EF"/>
          </w:tcPr>
          <w:p>
            <w:pPr>
              <w:spacing w:after="0"/>
            </w:pPr>
            <w:r/>
            <w:r>
              <w:rPr>
                <w:b/>
              </w:rPr>
              <w:t>Client and site</w:t>
            </w:r>
          </w:p>
        </w:tc>
        <w:tc>
          <w:tcPr>
            <w:tcW w:type="dxa" w:w="5083"/>
            <w:shd w:fill="EEF3EF"/>
          </w:tcPr>
          <w:p>
            <w:pPr>
              <w:spacing w:after="0"/>
            </w:pPr>
            <w:r/>
            <w:r>
              <w:rPr>
                <w:b w:val="0"/>
              </w:rPr>
              <w:t>Marshview Wetland Preserve (simulated learning site)</w:t>
            </w:r>
          </w:p>
        </w:tc>
      </w:tr>
      <w:tr>
        <w:tc>
          <w:tcPr>
            <w:tcW w:type="dxa" w:w="5083"/>
          </w:tcPr>
          <w:p>
            <w:pPr>
              <w:spacing w:after="0"/>
            </w:pPr>
            <w:r/>
            <w:r>
              <w:rPr>
                <w:b/>
              </w:rPr>
              <w:t>Platform</w:t>
            </w:r>
          </w:p>
        </w:tc>
        <w:tc>
          <w:tcPr>
            <w:tcW w:type="dxa" w:w="5083"/>
          </w:tcPr>
          <w:p>
            <w:pPr>
              <w:spacing w:after="0"/>
            </w:pPr>
            <w:r/>
            <w:r>
              <w:rPr>
                <w:b w:val="0"/>
              </w:rPr>
              <w:t>DJI Mavic 3 Multispectral</w:t>
            </w:r>
          </w:p>
        </w:tc>
      </w:tr>
      <w:tr>
        <w:tc>
          <w:tcPr>
            <w:tcW w:type="dxa" w:w="5083"/>
            <w:shd w:fill="EEF3EF"/>
          </w:tcPr>
          <w:p>
            <w:pPr>
              <w:spacing w:after="0"/>
            </w:pPr>
            <w:r/>
            <w:r>
              <w:rPr>
                <w:b/>
              </w:rPr>
              <w:t>Demonstration flight</w:t>
            </w:r>
          </w:p>
        </w:tc>
        <w:tc>
          <w:tcPr>
            <w:tcW w:type="dxa" w:w="5083"/>
            <w:shd w:fill="EEF3EF"/>
          </w:tcPr>
          <w:p>
            <w:pPr>
              <w:spacing w:after="0"/>
            </w:pPr>
            <w:r/>
            <w:r>
              <w:rPr>
                <w:b w:val="0"/>
              </w:rPr>
              <w:t>200 ft AGL (61 m), nadir mapping grid</w:t>
            </w:r>
          </w:p>
        </w:tc>
      </w:tr>
      <w:tr>
        <w:tc>
          <w:tcPr>
            <w:tcW w:type="dxa" w:w="5083"/>
          </w:tcPr>
          <w:p>
            <w:pPr>
              <w:spacing w:after="0"/>
            </w:pPr>
            <w:r/>
            <w:r>
              <w:rPr>
                <w:b/>
              </w:rPr>
              <w:t>Products</w:t>
            </w:r>
          </w:p>
        </w:tc>
        <w:tc>
          <w:tcPr>
            <w:tcW w:type="dxa" w:w="5083"/>
          </w:tcPr>
          <w:p>
            <w:pPr>
              <w:spacing w:after="0"/>
            </w:pPr>
            <w:r/>
            <w:r>
              <w:rPr>
                <w:b w:val="0"/>
              </w:rPr>
              <w:t>Natural-color orthomosaic, NDVI surface, field-sample table</w:t>
            </w:r>
          </w:p>
        </w:tc>
      </w:tr>
      <w:tr>
        <w:tc>
          <w:tcPr>
            <w:tcW w:type="dxa" w:w="5083"/>
            <w:shd w:fill="EEF3EF"/>
          </w:tcPr>
          <w:p>
            <w:pPr>
              <w:spacing w:after="0"/>
            </w:pPr>
            <w:r/>
            <w:r>
              <w:rPr>
                <w:b/>
              </w:rPr>
              <w:t>Evidence-aligned priority</w:t>
            </w:r>
          </w:p>
        </w:tc>
        <w:tc>
          <w:tcPr>
            <w:tcW w:type="dxa" w:w="5083"/>
            <w:shd w:fill="EEF3EF"/>
          </w:tcPr>
          <w:p>
            <w:pPr>
              <w:spacing w:after="0"/>
            </w:pPr>
            <w:r/>
            <w:r>
              <w:rPr>
                <w:b w:val="0"/>
              </w:rPr>
              <w:t>Zone B - wetland edge</w:t>
            </w:r>
          </w:p>
        </w:tc>
      </w:tr>
    </w:tbl>
    <w:p>
      <w:pPr>
        <w:pStyle w:val="Heading1"/>
      </w:pPr>
      <w:r>
        <w:t>What a complete student product should contain</w:t>
      </w:r>
    </w:p>
    <w:p>
      <w:pPr>
        <w:pStyle w:val="ListBullet"/>
      </w:pPr>
      <w:r>
        <w:t>A focused, decision-relevant environmental question.</w:t>
      </w:r>
    </w:p>
    <w:p>
      <w:pPr>
        <w:pStyle w:val="ListBullet"/>
      </w:pPr>
      <w:r>
        <w:t>Correct explanation of what the sensor measures and what NDVI represents.</w:t>
      </w:r>
    </w:p>
    <w:p>
      <w:pPr>
        <w:pStyle w:val="ListBullet"/>
      </w:pPr>
      <w:r>
        <w:t>Comparison of the natural-color image, NDVI surface, and field samples.</w:t>
      </w:r>
    </w:p>
    <w:p>
      <w:pPr>
        <w:pStyle w:val="ListBullet"/>
      </w:pPr>
      <w:r>
        <w:t>At least one accurate quantitative observation and one relevant comparison.</w:t>
      </w:r>
    </w:p>
    <w:p>
      <w:pPr>
        <w:pStyle w:val="ListBullet"/>
      </w:pPr>
      <w:r>
        <w:t>A claim that distinguishes mapped evidence from an unconfirmed cause.</w:t>
      </w:r>
    </w:p>
    <w:p>
      <w:pPr>
        <w:pStyle w:val="ListBullet"/>
      </w:pPr>
      <w:r>
        <w:t>A plausible alternative explanation, limitations, and a targeted field-check plan.</w:t>
      </w:r>
    </w:p>
    <w:p>
      <w:pPr>
        <w:pStyle w:val="ListBullet"/>
      </w:pPr>
      <w:r>
        <w:t>A recommendation proportional to the evidence rather than an immediate treatment decision.</w:t>
      </w:r>
    </w:p>
    <w:tbl>
      <w:tblPr>
        <w:tblW w:type="auto" w:w="0"/>
        <w:jc w:val="center"/>
        <w:tblLayout w:type="fixed"/>
        <w:tblLook w:firstColumn="1" w:firstRow="1" w:lastColumn="0" w:lastRow="0" w:noHBand="0" w:noVBand="1" w:val="04A0"/>
      </w:tblPr>
      <w:tblGrid>
        <w:gridCol w:w="10166"/>
      </w:tblGrid>
      <w:tr>
        <w:tc>
          <w:tcPr>
            <w:tcW w:type="dxa" w:w="9864"/>
            <w:shd w:fill="F7F0E4"/>
          </w:tcPr>
          <w:p>
            <w:pPr>
              <w:spacing w:after="60"/>
            </w:pPr>
            <w:r>
              <w:rPr>
                <w:b/>
                <w:color w:val="173F52"/>
              </w:rPr>
              <w:t>Acceptable variation</w:t>
            </w:r>
          </w:p>
          <w:p>
            <w:pPr>
              <w:spacing w:after="0"/>
            </w:pPr>
            <w:r>
              <w:t>Students may organize the report differently and may propose different field measurements. Full-credit responses must still identify Zone B as the first vegetation-stress inspection priority and explain why Zone C's lower NDVI reflects open water rather than stronger evidence of vegetation stress.</w:t>
            </w:r>
          </w:p>
        </w:tc>
      </w:tr>
    </w:tbl>
    <w:p>
      <w:r>
        <w:br w:type="page"/>
      </w:r>
    </w:p>
    <w:p>
      <w:pPr>
        <w:spacing w:after="160"/>
      </w:pPr>
      <w:r>
        <w:rPr>
          <w:b/>
          <w:color w:val="19758A"/>
          <w:sz w:val="18"/>
        </w:rPr>
        <w:t>PART 1 · COMPLETED INTERACTIVE INVESTIGATION</w:t>
      </w:r>
    </w:p>
    <w:p>
      <w:pPr>
        <w:pStyle w:val="Heading1"/>
      </w:pPr>
      <w:r>
        <w:t>Model answers for the on-page activity</w:t>
      </w:r>
    </w:p>
    <w:p>
      <w:pPr>
        <w:pStyle w:val="Heading2"/>
      </w:pPr>
      <w:r>
        <w:t>1. First inspection priority</w:t>
      </w:r>
    </w:p>
    <w:tbl>
      <w:tblPr>
        <w:tblW w:type="auto" w:w="0"/>
        <w:jc w:val="center"/>
        <w:tblLayout w:type="fixed"/>
        <w:tblLook w:firstColumn="1" w:firstRow="1" w:lastColumn="0" w:lastRow="0" w:noHBand="0" w:noVBand="1" w:val="04A0"/>
      </w:tblPr>
      <w:tblGrid>
        <w:gridCol w:w="10166"/>
      </w:tblGrid>
      <w:tr>
        <w:tc>
          <w:tcPr>
            <w:tcW w:type="dxa" w:w="9864"/>
            <w:shd w:fill="EEF3EF"/>
          </w:tcPr>
          <w:p>
            <w:pPr>
              <w:spacing w:after="60"/>
            </w:pPr>
            <w:r>
              <w:rPr>
                <w:b/>
                <w:color w:val="173F52"/>
              </w:rPr>
              <w:t>Selected answer: Zone B - Wetland edge</w:t>
            </w:r>
          </w:p>
          <w:p>
            <w:pPr>
              <w:spacing w:after="0"/>
            </w:pPr>
            <w:r>
              <w:t>Zone B is the strongest first inspection priority because it is vegetated land with a low positive mean NDVI (0.31), patchy cover, and a sharp decline relative to the healthier vegetation in Zones A and D.</w:t>
            </w:r>
          </w:p>
        </w:tc>
      </w:tr>
    </w:tbl>
    <w:p>
      <w:pPr>
        <w:pStyle w:val="Heading2"/>
      </w:pPr>
      <w:r>
        <w:t>2. Evidence and uncertainty</w:t>
      </w:r>
    </w:p>
    <w:p>
      <w:r>
        <w:rPr>
          <w:b/>
        </w:rPr>
        <w:t xml:space="preserve">Completed response: </w:t>
      </w:r>
      <w:r>
        <w:t>Zone B should be inspected first. Its mean NDVI of 0.31 is lower than Zone A (0.67) and Zone D (0.46), and the natural-color image shows patchy vegetation along the wetland edge. Zone C has a lower value (-0.08), but the natural-color map identifies it as open water, so it is not evidence of stressed vegetation. Imagery alone cannot determine whether the Zone B pattern is caused by water level, salinity, species composition, pests, disease, soil exposure, or recent disturbance.</w:t>
      </w:r>
    </w:p>
    <w:p>
      <w:pPr>
        <w:pStyle w:val="Heading2"/>
      </w:pPr>
      <w:r>
        <w:t>Why this answer is strong</w:t>
      </w:r>
    </w:p>
    <w:p>
      <w:pPr>
        <w:pStyle w:val="ListBullet"/>
      </w:pPr>
      <w:r>
        <w:t>It compares more than one zone instead of selecting the lowest number automatically.</w:t>
      </w:r>
    </w:p>
    <w:p>
      <w:pPr>
        <w:pStyle w:val="ListBullet"/>
      </w:pPr>
      <w:r>
        <w:t>It uses land-cover context from the natural-color orthomosaic.</w:t>
      </w:r>
    </w:p>
    <w:p>
      <w:pPr>
        <w:pStyle w:val="ListBullet"/>
      </w:pPr>
      <w:r>
        <w:t>It treats NDVI as evidence of a spectral pattern, not a diagnosis.</w:t>
      </w:r>
    </w:p>
    <w:p>
      <w:pPr>
        <w:pStyle w:val="ListBullet"/>
      </w:pPr>
      <w:r>
        <w:t>It names specific uncertainties that field work could test.</w:t>
      </w:r>
    </w:p>
    <w:p>
      <w:pPr>
        <w:pStyle w:val="Heading2"/>
      </w:pPr>
      <w:r>
        <w:t>Answers that need revision</w:t>
      </w:r>
    </w:p>
    <w:tbl>
      <w:tblPr>
        <w:tblStyle w:val="TableGrid"/>
        <w:tblW w:type="auto" w:w="0"/>
        <w:tblLook w:firstColumn="1" w:firstRow="1" w:lastColumn="0" w:lastRow="0" w:noHBand="0" w:noVBand="1" w:val="04A0"/>
      </w:tblPr>
      <w:tblGrid>
        <w:gridCol w:w="5083"/>
        <w:gridCol w:w="5083"/>
      </w:tblGrid>
      <w:tr>
        <w:tc>
          <w:tcPr>
            <w:tcW w:type="dxa" w:w="5083"/>
            <w:shd w:fill="173F52"/>
            <w:vAlign w:val="center"/>
          </w:tcPr>
          <w:p>
            <w:pPr>
              <w:jc w:val="left"/>
            </w:pPr>
            <w:r>
              <w:rPr>
                <w:b/>
                <w:color w:val="FFFFFF"/>
              </w:rPr>
              <w:t>Incomplete claim</w:t>
            </w:r>
          </w:p>
        </w:tc>
        <w:tc>
          <w:tcPr>
            <w:tcW w:type="dxa" w:w="5083"/>
            <w:shd w:fill="173F52"/>
            <w:vAlign w:val="center"/>
          </w:tcPr>
          <w:p>
            <w:pPr>
              <w:jc w:val="left"/>
            </w:pPr>
            <w:r>
              <w:rPr>
                <w:b/>
                <w:color w:val="FFFFFF"/>
              </w:rPr>
              <w:t>What is missing</w:t>
            </w:r>
          </w:p>
        </w:tc>
      </w:tr>
      <w:tr>
        <w:tc>
          <w:tcPr>
            <w:tcW w:type="dxa" w:w="5083"/>
          </w:tcPr>
          <w:p>
            <w:pPr>
              <w:spacing w:after="0"/>
            </w:pPr>
            <w:r/>
            <w:r>
              <w:rPr>
                <w:b w:val="0"/>
              </w:rPr>
              <w:t>Zone C is most stressed because it has the lowest NDVI.</w:t>
            </w:r>
          </w:p>
        </w:tc>
        <w:tc>
          <w:tcPr>
            <w:tcW w:type="dxa" w:w="5083"/>
          </w:tcPr>
          <w:p>
            <w:pPr>
              <w:spacing w:after="0"/>
            </w:pPr>
            <w:r/>
            <w:r>
              <w:rPr>
                <w:b w:val="0"/>
              </w:rPr>
              <w:t>Zone C is mapped as open water; negative NDVI is expected and is not a vegetation-stress diagnosis.</w:t>
            </w:r>
          </w:p>
        </w:tc>
      </w:tr>
      <w:tr>
        <w:tc>
          <w:tcPr>
            <w:tcW w:type="dxa" w:w="5083"/>
          </w:tcPr>
          <w:p>
            <w:pPr>
              <w:spacing w:after="0"/>
            </w:pPr>
            <w:r/>
            <w:r>
              <w:rPr>
                <w:b w:val="0"/>
              </w:rPr>
              <w:t>Zone B is unhealthy.</w:t>
            </w:r>
          </w:p>
        </w:tc>
        <w:tc>
          <w:tcPr>
            <w:tcW w:type="dxa" w:w="5083"/>
          </w:tcPr>
          <w:p>
            <w:pPr>
              <w:spacing w:after="0"/>
            </w:pPr>
            <w:r/>
            <w:r>
              <w:rPr>
                <w:b w:val="0"/>
              </w:rPr>
              <w:t>The pattern supports inspection, but cause and condition still require ground observations.</w:t>
            </w:r>
          </w:p>
        </w:tc>
      </w:tr>
      <w:tr>
        <w:tc>
          <w:tcPr>
            <w:tcW w:type="dxa" w:w="5083"/>
          </w:tcPr>
          <w:p>
            <w:pPr>
              <w:spacing w:after="0"/>
            </w:pPr>
            <w:r/>
            <w:r>
              <w:rPr>
                <w:b w:val="0"/>
              </w:rPr>
              <w:t>Zone B should be treated immediately.</w:t>
            </w:r>
          </w:p>
        </w:tc>
        <w:tc>
          <w:tcPr>
            <w:tcW w:type="dxa" w:w="5083"/>
          </w:tcPr>
          <w:p>
            <w:pPr>
              <w:spacing w:after="0"/>
            </w:pPr>
            <w:r/>
            <w:r>
              <w:rPr>
                <w:b w:val="0"/>
              </w:rPr>
              <w:t>The evidence supports targeted sampling first, not an irreversible management action.</w:t>
            </w:r>
          </w:p>
        </w:tc>
      </w:tr>
    </w:tbl>
    <w:p>
      <w:r>
        <w:br w:type="page"/>
      </w:r>
    </w:p>
    <w:p>
      <w:pPr>
        <w:spacing w:after="160"/>
      </w:pPr>
      <w:r>
        <w:rPr>
          <w:b/>
          <w:color w:val="19758A"/>
          <w:sz w:val="18"/>
        </w:rPr>
        <w:t>PART 2 · MAP AND DATA KEY</w:t>
      </w:r>
    </w:p>
    <w:p>
      <w:pPr>
        <w:pStyle w:val="Heading1"/>
      </w:pPr>
      <w:r>
        <w:t>Expected map interpretation</w:t>
      </w:r>
    </w:p>
    <w:tbl>
      <w:tblPr>
        <w:tblW w:type="auto" w:w="0"/>
        <w:jc w:val="center"/>
        <w:tblLayout w:type="fixed"/>
        <w:tblLook w:firstColumn="1" w:firstRow="1" w:lastColumn="0" w:lastRow="0" w:noHBand="0" w:noVBand="1" w:val="04A0"/>
      </w:tblPr>
      <w:tblGrid>
        <w:gridCol w:w="5083"/>
        <w:gridCol w:w="5083"/>
      </w:tblGrid>
      <w:tr>
        <w:tc>
          <w:tcPr>
            <w:tcW w:type="dxa" w:w="5083"/>
          </w:tcPr>
          <w:p>
            <w:pPr>
              <w:jc w:val="center"/>
            </w:pPr>
            <w:r>
              <w:rPr>
                <w:b/>
                <w:color w:val="173F52"/>
              </w:rPr>
              <w:t>Natural-color orthomosaic</w:t>
            </w:r>
          </w:p>
          <w:p>
            <w:pPr>
              <w:jc w:val="center"/>
            </w:pPr>
            <w:r>
              <w:drawing>
                <wp:inline xmlns:a="http://schemas.openxmlformats.org/drawingml/2006/main" xmlns:pic="http://schemas.openxmlformats.org/drawingml/2006/picture">
                  <wp:extent cx="2880360" cy="2880360"/>
                  <wp:docPr id="1" name="Picture 1"/>
                  <wp:cNvGraphicFramePr>
                    <a:graphicFrameLocks noChangeAspect="1"/>
                  </wp:cNvGraphicFramePr>
                  <a:graphic>
                    <a:graphicData uri="http://schemas.openxmlformats.org/drawingml/2006/picture">
                      <pic:pic>
                        <pic:nvPicPr>
                          <pic:cNvPr id="0" name="simulated_wetland_rgb_map.png"/>
                          <pic:cNvPicPr/>
                        </pic:nvPicPr>
                        <pic:blipFill>
                          <a:blip r:embed="rId10"/>
                          <a:stretch>
                            <a:fillRect/>
                          </a:stretch>
                        </pic:blipFill>
                        <pic:spPr>
                          <a:xfrm>
                            <a:off x="0" y="0"/>
                            <a:ext cx="2880360" cy="2880360"/>
                          </a:xfrm>
                          <a:prstGeom prst="rect"/>
                        </pic:spPr>
                      </pic:pic>
                    </a:graphicData>
                  </a:graphic>
                </wp:inline>
              </w:drawing>
            </w:r>
          </w:p>
        </w:tc>
        <w:tc>
          <w:tcPr>
            <w:tcW w:type="dxa" w:w="5083"/>
          </w:tcPr>
          <w:p>
            <w:pPr>
              <w:jc w:val="center"/>
            </w:pPr>
            <w:r>
              <w:rPr>
                <w:b/>
                <w:color w:val="173F52"/>
              </w:rPr>
              <w:t>NDVI surface</w:t>
            </w:r>
          </w:p>
          <w:p>
            <w:pPr>
              <w:jc w:val="center"/>
            </w:pPr>
            <w:r>
              <w:drawing>
                <wp:inline xmlns:a="http://schemas.openxmlformats.org/drawingml/2006/main" xmlns:pic="http://schemas.openxmlformats.org/drawingml/2006/picture">
                  <wp:extent cx="2880360" cy="2880360"/>
                  <wp:docPr id="2" name="Picture 2"/>
                  <wp:cNvGraphicFramePr>
                    <a:graphicFrameLocks noChangeAspect="1"/>
                  </wp:cNvGraphicFramePr>
                  <a:graphic>
                    <a:graphicData uri="http://schemas.openxmlformats.org/drawingml/2006/picture">
                      <pic:pic>
                        <pic:nvPicPr>
                          <pic:cNvPr id="0" name="simulated_wetland_ndvi_map.png"/>
                          <pic:cNvPicPr/>
                        </pic:nvPicPr>
                        <pic:blipFill>
                          <a:blip r:embed="rId11"/>
                          <a:stretch>
                            <a:fillRect/>
                          </a:stretch>
                        </pic:blipFill>
                        <pic:spPr>
                          <a:xfrm>
                            <a:off x="0" y="0"/>
                            <a:ext cx="2880360" cy="2880360"/>
                          </a:xfrm>
                          <a:prstGeom prst="rect"/>
                        </pic:spPr>
                      </pic:pic>
                    </a:graphicData>
                  </a:graphic>
                </wp:inline>
              </w:drawing>
            </w:r>
          </w:p>
        </w:tc>
      </w:tr>
    </w:tbl>
    <w:p>
      <w:r>
        <w:t>Figure 1. Simulated 400 m x 400 m Marshview Wetland learning site. Students should use the same zone boundaries and sample identifiers in both views.</w:t>
      </w:r>
    </w:p>
    <w:p>
      <w:pPr>
        <w:pStyle w:val="Heading2"/>
      </w:pPr>
      <w:r>
        <w:t>Zone interpretation key</w:t>
      </w:r>
    </w:p>
    <w:tbl>
      <w:tblPr>
        <w:tblStyle w:val="TableGrid"/>
        <w:tblW w:type="auto" w:w="0"/>
        <w:tblLook w:firstColumn="1" w:firstRow="1" w:lastColumn="0" w:lastRow="0" w:noHBand="0" w:noVBand="1" w:val="04A0"/>
      </w:tblPr>
      <w:tblGrid>
        <w:gridCol w:w="2541"/>
        <w:gridCol w:w="2541"/>
        <w:gridCol w:w="2541"/>
        <w:gridCol w:w="2541"/>
      </w:tblGrid>
      <w:tr>
        <w:tc>
          <w:tcPr>
            <w:tcW w:type="dxa" w:w="2541"/>
            <w:shd w:fill="173F52"/>
            <w:vAlign w:val="center"/>
          </w:tcPr>
          <w:p>
            <w:pPr>
              <w:jc w:val="left"/>
            </w:pPr>
            <w:r>
              <w:rPr>
                <w:b/>
                <w:color w:val="FFFFFF"/>
              </w:rPr>
              <w:t>Zone</w:t>
            </w:r>
          </w:p>
        </w:tc>
        <w:tc>
          <w:tcPr>
            <w:tcW w:type="dxa" w:w="2541"/>
            <w:shd w:fill="173F52"/>
            <w:vAlign w:val="center"/>
          </w:tcPr>
          <w:p>
            <w:pPr>
              <w:jc w:val="left"/>
            </w:pPr>
            <w:r>
              <w:rPr>
                <w:b/>
                <w:color w:val="FFFFFF"/>
              </w:rPr>
              <w:t>Mapped cover</w:t>
            </w:r>
          </w:p>
        </w:tc>
        <w:tc>
          <w:tcPr>
            <w:tcW w:type="dxa" w:w="2541"/>
            <w:shd w:fill="173F52"/>
            <w:vAlign w:val="center"/>
          </w:tcPr>
          <w:p>
            <w:pPr>
              <w:jc w:val="left"/>
            </w:pPr>
            <w:r>
              <w:rPr>
                <w:b/>
                <w:color w:val="FFFFFF"/>
              </w:rPr>
              <w:t>Mean NDVI</w:t>
            </w:r>
          </w:p>
        </w:tc>
        <w:tc>
          <w:tcPr>
            <w:tcW w:type="dxa" w:w="2541"/>
            <w:shd w:fill="173F52"/>
            <w:vAlign w:val="center"/>
          </w:tcPr>
          <w:p>
            <w:pPr>
              <w:jc w:val="left"/>
            </w:pPr>
            <w:r>
              <w:rPr>
                <w:b/>
                <w:color w:val="FFFFFF"/>
              </w:rPr>
              <w:t>Expected interpretation</w:t>
            </w:r>
          </w:p>
        </w:tc>
      </w:tr>
      <w:tr>
        <w:tc>
          <w:tcPr>
            <w:tcW w:type="dxa" w:w="2541"/>
          </w:tcPr>
          <w:p>
            <w:pPr>
              <w:spacing w:after="0"/>
            </w:pPr>
            <w:r/>
            <w:r>
              <w:rPr>
                <w:b/>
              </w:rPr>
              <w:t>A</w:t>
            </w:r>
          </w:p>
        </w:tc>
        <w:tc>
          <w:tcPr>
            <w:tcW w:type="dxa" w:w="2541"/>
          </w:tcPr>
          <w:p>
            <w:pPr>
              <w:spacing w:after="0"/>
            </w:pPr>
            <w:r/>
            <w:r>
              <w:rPr>
                <w:b w:val="0"/>
              </w:rPr>
              <w:t>Dense upland/emergent vegetation</w:t>
            </w:r>
          </w:p>
        </w:tc>
        <w:tc>
          <w:tcPr>
            <w:tcW w:type="dxa" w:w="2541"/>
          </w:tcPr>
          <w:p>
            <w:pPr>
              <w:spacing w:after="0"/>
            </w:pPr>
            <w:r/>
            <w:r>
              <w:rPr>
                <w:b w:val="0"/>
              </w:rPr>
              <w:t>0.67 on web summary; samples 0.50-0.53</w:t>
            </w:r>
          </w:p>
        </w:tc>
        <w:tc>
          <w:tcPr>
            <w:tcW w:type="dxa" w:w="2541"/>
          </w:tcPr>
          <w:p>
            <w:pPr>
              <w:spacing w:after="0"/>
            </w:pPr>
            <w:r/>
            <w:r>
              <w:rPr>
                <w:b w:val="0"/>
              </w:rPr>
              <w:t>High positive vegetation signal; reference for dense cover.</w:t>
            </w:r>
          </w:p>
        </w:tc>
      </w:tr>
      <w:tr>
        <w:tc>
          <w:tcPr>
            <w:tcW w:type="dxa" w:w="2541"/>
          </w:tcPr>
          <w:p>
            <w:pPr>
              <w:spacing w:after="0"/>
            </w:pPr>
            <w:r/>
            <w:r>
              <w:rPr>
                <w:b/>
              </w:rPr>
              <w:t>B</w:t>
            </w:r>
          </w:p>
        </w:tc>
        <w:tc>
          <w:tcPr>
            <w:tcW w:type="dxa" w:w="2541"/>
          </w:tcPr>
          <w:p>
            <w:pPr>
              <w:spacing w:after="0"/>
            </w:pPr>
            <w:r/>
            <w:r>
              <w:rPr>
                <w:b w:val="0"/>
              </w:rPr>
              <w:t>Patchy wetland edge</w:t>
            </w:r>
          </w:p>
        </w:tc>
        <w:tc>
          <w:tcPr>
            <w:tcW w:type="dxa" w:w="2541"/>
          </w:tcPr>
          <w:p>
            <w:pPr>
              <w:spacing w:after="0"/>
            </w:pPr>
            <w:r/>
            <w:r>
              <w:rPr>
                <w:b w:val="0"/>
              </w:rPr>
              <w:t>0.31 on web summary; samples 0.19-0.34</w:t>
            </w:r>
          </w:p>
        </w:tc>
        <w:tc>
          <w:tcPr>
            <w:tcW w:type="dxa" w:w="2541"/>
          </w:tcPr>
          <w:p>
            <w:pPr>
              <w:spacing w:after="0"/>
            </w:pPr>
            <w:r/>
            <w:r>
              <w:rPr>
                <w:b w:val="0"/>
              </w:rPr>
              <w:t>Primary inspection target; low positive signal plus visible patchiness.</w:t>
            </w:r>
          </w:p>
        </w:tc>
      </w:tr>
      <w:tr>
        <w:tc>
          <w:tcPr>
            <w:tcW w:type="dxa" w:w="2541"/>
          </w:tcPr>
          <w:p>
            <w:pPr>
              <w:spacing w:after="0"/>
            </w:pPr>
            <w:r/>
            <w:r>
              <w:rPr>
                <w:b/>
              </w:rPr>
              <w:t>C</w:t>
            </w:r>
          </w:p>
        </w:tc>
        <w:tc>
          <w:tcPr>
            <w:tcW w:type="dxa" w:w="2541"/>
          </w:tcPr>
          <w:p>
            <w:pPr>
              <w:spacing w:after="0"/>
            </w:pPr>
            <w:r/>
            <w:r>
              <w:rPr>
                <w:b w:val="0"/>
              </w:rPr>
              <w:t>Open water and sparse floating vegetation</w:t>
            </w:r>
          </w:p>
        </w:tc>
        <w:tc>
          <w:tcPr>
            <w:tcW w:type="dxa" w:w="2541"/>
          </w:tcPr>
          <w:p>
            <w:pPr>
              <w:spacing w:after="0"/>
            </w:pPr>
            <w:r/>
            <w:r>
              <w:rPr>
                <w:b w:val="0"/>
              </w:rPr>
              <w:t>-0.08 on web summary; samples -0.27 to -0.07</w:t>
            </w:r>
          </w:p>
        </w:tc>
        <w:tc>
          <w:tcPr>
            <w:tcW w:type="dxa" w:w="2541"/>
          </w:tcPr>
          <w:p>
            <w:pPr>
              <w:spacing w:after="0"/>
            </w:pPr>
            <w:r/>
            <w:r>
              <w:rPr>
                <w:b w:val="0"/>
              </w:rPr>
              <w:t>Low/negative values are consistent with water, not a stress ranking.</w:t>
            </w:r>
          </w:p>
        </w:tc>
      </w:tr>
      <w:tr>
        <w:tc>
          <w:tcPr>
            <w:tcW w:type="dxa" w:w="2541"/>
          </w:tcPr>
          <w:p>
            <w:pPr>
              <w:spacing w:after="0"/>
            </w:pPr>
            <w:r/>
            <w:r>
              <w:rPr>
                <w:b/>
              </w:rPr>
              <w:t>D</w:t>
            </w:r>
          </w:p>
        </w:tc>
        <w:tc>
          <w:tcPr>
            <w:tcW w:type="dxa" w:w="2541"/>
          </w:tcPr>
          <w:p>
            <w:pPr>
              <w:spacing w:after="0"/>
            </w:pPr>
            <w:r/>
            <w:r>
              <w:rPr>
                <w:b w:val="0"/>
              </w:rPr>
              <w:t>Mixed reference vegetation</w:t>
            </w:r>
          </w:p>
        </w:tc>
        <w:tc>
          <w:tcPr>
            <w:tcW w:type="dxa" w:w="2541"/>
          </w:tcPr>
          <w:p>
            <w:pPr>
              <w:spacing w:after="0"/>
            </w:pPr>
            <w:r/>
            <w:r>
              <w:rPr>
                <w:b w:val="0"/>
              </w:rPr>
              <w:t>0.46 on web summary; samples 0.43-0.48</w:t>
            </w:r>
          </w:p>
        </w:tc>
        <w:tc>
          <w:tcPr>
            <w:tcW w:type="dxa" w:w="2541"/>
          </w:tcPr>
          <w:p>
            <w:pPr>
              <w:spacing w:after="0"/>
            </w:pPr>
            <w:r/>
            <w:r>
              <w:rPr>
                <w:b w:val="0"/>
              </w:rPr>
              <w:t>Moderate positive signal without visible discoloration.</w:t>
            </w:r>
          </w:p>
        </w:tc>
      </w:tr>
    </w:tbl>
    <w:tbl>
      <w:tblPr>
        <w:tblW w:type="auto" w:w="0"/>
        <w:jc w:val="center"/>
        <w:tblLayout w:type="fixed"/>
        <w:tblLook w:firstColumn="1" w:firstRow="1" w:lastColumn="0" w:lastRow="0" w:noHBand="0" w:noVBand="1" w:val="04A0"/>
      </w:tblPr>
      <w:tblGrid>
        <w:gridCol w:w="10166"/>
      </w:tblGrid>
      <w:tr>
        <w:tc>
          <w:tcPr>
            <w:tcW w:type="dxa" w:w="9864"/>
            <w:shd w:fill="EEF3EF"/>
          </w:tcPr>
          <w:p>
            <w:pPr>
              <w:spacing w:after="60"/>
            </w:pPr>
            <w:r>
              <w:rPr>
                <w:b/>
                <w:color w:val="173F52"/>
              </w:rPr>
              <w:t>Important distinction</w:t>
            </w:r>
          </w:p>
          <w:p>
            <w:pPr>
              <w:spacing w:after="0"/>
            </w:pPr>
            <w:r>
              <w:t>The web activity displays rounded zone summaries for quick comparison. The CSV contains individual field-sample values. Students may cite either source if they label it correctly; stronger projects use the individual samples to describe within-zone variation.</w:t>
            </w:r>
          </w:p>
        </w:tc>
      </w:tr>
    </w:tbl>
    <w:p>
      <w:r>
        <w:br w:type="page"/>
      </w:r>
    </w:p>
    <w:p>
      <w:pPr>
        <w:spacing w:after="160"/>
      </w:pPr>
      <w:r>
        <w:rPr>
          <w:b/>
          <w:color w:val="19758A"/>
          <w:sz w:val="18"/>
        </w:rPr>
        <w:t>PART 3 · COMPLETED QUANTITATIVE ANALYSIS</w:t>
      </w:r>
    </w:p>
    <w:p>
      <w:pPr>
        <w:pStyle w:val="Heading1"/>
      </w:pPr>
      <w:r>
        <w:t>Sample-level answer key</w:t>
      </w:r>
    </w:p>
    <w:tbl>
      <w:tblPr>
        <w:tblStyle w:val="TableGrid"/>
        <w:tblW w:type="auto" w:w="0"/>
        <w:jc w:val="center"/>
        <w:tblLook w:firstColumn="1" w:firstRow="1" w:lastColumn="0" w:lastRow="0" w:noHBand="0" w:noVBand="1" w:val="04A0"/>
      </w:tblPr>
      <w:tblGrid>
        <w:gridCol w:w="1452"/>
        <w:gridCol w:w="1452"/>
        <w:gridCol w:w="1452"/>
        <w:gridCol w:w="1452"/>
        <w:gridCol w:w="1452"/>
        <w:gridCol w:w="1452"/>
        <w:gridCol w:w="1452"/>
      </w:tblGrid>
      <w:tr>
        <w:tc>
          <w:tcPr>
            <w:tcW w:type="dxa" w:w="1452"/>
            <w:shd w:fill="173F52"/>
            <w:vAlign w:val="center"/>
          </w:tcPr>
          <w:p>
            <w:pPr>
              <w:jc w:val="left"/>
            </w:pPr>
            <w:r>
              <w:rPr>
                <w:b/>
                <w:color w:val="FFFFFF"/>
              </w:rPr>
              <w:t>Sample</w:t>
            </w:r>
          </w:p>
        </w:tc>
        <w:tc>
          <w:tcPr>
            <w:tcW w:type="dxa" w:w="1452"/>
            <w:shd w:fill="173F52"/>
            <w:vAlign w:val="center"/>
          </w:tcPr>
          <w:p>
            <w:pPr>
              <w:jc w:val="left"/>
            </w:pPr>
            <w:r>
              <w:rPr>
                <w:b/>
                <w:color w:val="FFFFFF"/>
              </w:rPr>
              <w:t>Zone</w:t>
            </w:r>
          </w:p>
        </w:tc>
        <w:tc>
          <w:tcPr>
            <w:tcW w:type="dxa" w:w="1452"/>
            <w:shd w:fill="173F52"/>
            <w:vAlign w:val="center"/>
          </w:tcPr>
          <w:p>
            <w:pPr>
              <w:jc w:val="left"/>
            </w:pPr>
            <w:r>
              <w:rPr>
                <w:b/>
                <w:color w:val="FFFFFF"/>
              </w:rPr>
              <w:t>Red</w:t>
            </w:r>
          </w:p>
        </w:tc>
        <w:tc>
          <w:tcPr>
            <w:tcW w:type="dxa" w:w="1452"/>
            <w:shd w:fill="173F52"/>
            <w:vAlign w:val="center"/>
          </w:tcPr>
          <w:p>
            <w:pPr>
              <w:jc w:val="left"/>
            </w:pPr>
            <w:r>
              <w:rPr>
                <w:b/>
                <w:color w:val="FFFFFF"/>
              </w:rPr>
              <w:t>NIR</w:t>
            </w:r>
          </w:p>
        </w:tc>
        <w:tc>
          <w:tcPr>
            <w:tcW w:type="dxa" w:w="1452"/>
            <w:shd w:fill="173F52"/>
            <w:vAlign w:val="center"/>
          </w:tcPr>
          <w:p>
            <w:pPr>
              <w:jc w:val="left"/>
            </w:pPr>
            <w:r>
              <w:rPr>
                <w:b/>
                <w:color w:val="FFFFFF"/>
              </w:rPr>
              <w:t>NDVI</w:t>
            </w:r>
          </w:p>
        </w:tc>
        <w:tc>
          <w:tcPr>
            <w:tcW w:type="dxa" w:w="1452"/>
            <w:shd w:fill="173F52"/>
            <w:vAlign w:val="center"/>
          </w:tcPr>
          <w:p>
            <w:pPr>
              <w:jc w:val="left"/>
            </w:pPr>
            <w:r>
              <w:rPr>
                <w:b/>
                <w:color w:val="FFFFFF"/>
              </w:rPr>
              <w:t>Depth cm</w:t>
            </w:r>
          </w:p>
        </w:tc>
        <w:tc>
          <w:tcPr>
            <w:tcW w:type="dxa" w:w="1452"/>
            <w:shd w:fill="173F52"/>
            <w:vAlign w:val="center"/>
          </w:tcPr>
          <w:p>
            <w:pPr>
              <w:jc w:val="left"/>
            </w:pPr>
            <w:r>
              <w:rPr>
                <w:b/>
                <w:color w:val="FFFFFF"/>
              </w:rPr>
              <w:t>Field note</w:t>
            </w:r>
          </w:p>
        </w:tc>
      </w:tr>
      <w:tr>
        <w:tc>
          <w:tcPr>
            <w:tcW w:type="dxa" w:w="1452"/>
          </w:tcPr>
          <w:p>
            <w:pPr>
              <w:spacing w:after="0"/>
            </w:pPr>
            <w:r/>
            <w:r>
              <w:rPr>
                <w:b/>
              </w:rPr>
              <w:t>S1</w:t>
            </w:r>
          </w:p>
        </w:tc>
        <w:tc>
          <w:tcPr>
            <w:tcW w:type="dxa" w:w="1452"/>
          </w:tcPr>
          <w:p>
            <w:pPr>
              <w:spacing w:after="0"/>
            </w:pPr>
            <w:r/>
            <w:r>
              <w:rPr>
                <w:b w:val="0"/>
              </w:rPr>
              <w:t>A</w:t>
            </w:r>
          </w:p>
        </w:tc>
        <w:tc>
          <w:tcPr>
            <w:tcW w:type="dxa" w:w="1452"/>
          </w:tcPr>
          <w:p>
            <w:pPr>
              <w:spacing w:after="0"/>
            </w:pPr>
            <w:r/>
            <w:r>
              <w:rPr>
                <w:b w:val="0"/>
              </w:rPr>
              <w:t>.18</w:t>
            </w:r>
          </w:p>
        </w:tc>
        <w:tc>
          <w:tcPr>
            <w:tcW w:type="dxa" w:w="1452"/>
          </w:tcPr>
          <w:p>
            <w:pPr>
              <w:spacing w:after="0"/>
            </w:pPr>
            <w:r/>
            <w:r>
              <w:rPr>
                <w:b w:val="0"/>
              </w:rPr>
              <w:t>.58</w:t>
            </w:r>
          </w:p>
        </w:tc>
        <w:tc>
          <w:tcPr>
            <w:tcW w:type="dxa" w:w="1452"/>
          </w:tcPr>
          <w:p>
            <w:pPr>
              <w:spacing w:after="0"/>
            </w:pPr>
            <w:r/>
            <w:r>
              <w:rPr>
                <w:b w:val="0"/>
              </w:rPr>
              <w:t>.50</w:t>
            </w:r>
          </w:p>
        </w:tc>
        <w:tc>
          <w:tcPr>
            <w:tcW w:type="dxa" w:w="1452"/>
          </w:tcPr>
          <w:p>
            <w:pPr>
              <w:spacing w:after="0"/>
            </w:pPr>
            <w:r/>
            <w:r>
              <w:rPr>
                <w:b w:val="0"/>
              </w:rPr>
              <w:t>22</w:t>
            </w:r>
          </w:p>
        </w:tc>
        <w:tc>
          <w:tcPr>
            <w:tcW w:type="dxa" w:w="1452"/>
          </w:tcPr>
          <w:p>
            <w:pPr>
              <w:spacing w:after="0"/>
            </w:pPr>
            <w:r/>
            <w:r>
              <w:rPr>
                <w:b w:val="0"/>
              </w:rPr>
              <w:t>Dense emergent vegetation</w:t>
            </w:r>
          </w:p>
        </w:tc>
      </w:tr>
      <w:tr>
        <w:tc>
          <w:tcPr>
            <w:tcW w:type="dxa" w:w="1452"/>
            <w:shd w:fill="F4F6F4"/>
          </w:tcPr>
          <w:p>
            <w:pPr>
              <w:spacing w:after="0"/>
            </w:pPr>
            <w:r/>
            <w:r>
              <w:rPr>
                <w:b/>
              </w:rPr>
              <w:t>S2</w:t>
            </w:r>
          </w:p>
        </w:tc>
        <w:tc>
          <w:tcPr>
            <w:tcW w:type="dxa" w:w="1452"/>
            <w:shd w:fill="F4F6F4"/>
          </w:tcPr>
          <w:p>
            <w:pPr>
              <w:spacing w:after="0"/>
            </w:pPr>
            <w:r/>
            <w:r>
              <w:rPr>
                <w:b w:val="0"/>
              </w:rPr>
              <w:t>A</w:t>
            </w:r>
          </w:p>
        </w:tc>
        <w:tc>
          <w:tcPr>
            <w:tcW w:type="dxa" w:w="1452"/>
            <w:shd w:fill="F4F6F4"/>
          </w:tcPr>
          <w:p>
            <w:pPr>
              <w:spacing w:after="0"/>
            </w:pPr>
            <w:r/>
            <w:r>
              <w:rPr>
                <w:b w:val="0"/>
              </w:rPr>
              <w:t>.20</w:t>
            </w:r>
          </w:p>
        </w:tc>
        <w:tc>
          <w:tcPr>
            <w:tcW w:type="dxa" w:w="1452"/>
            <w:shd w:fill="F4F6F4"/>
          </w:tcPr>
          <w:p>
            <w:pPr>
              <w:spacing w:after="0"/>
            </w:pPr>
            <w:r/>
            <w:r>
              <w:rPr>
                <w:b w:val="0"/>
              </w:rPr>
              <w:t>.62</w:t>
            </w:r>
          </w:p>
        </w:tc>
        <w:tc>
          <w:tcPr>
            <w:tcW w:type="dxa" w:w="1452"/>
            <w:shd w:fill="F4F6F4"/>
          </w:tcPr>
          <w:p>
            <w:pPr>
              <w:spacing w:after="0"/>
            </w:pPr>
            <w:r/>
            <w:r>
              <w:rPr>
                <w:b w:val="0"/>
              </w:rPr>
              <w:t>.51</w:t>
            </w:r>
          </w:p>
        </w:tc>
        <w:tc>
          <w:tcPr>
            <w:tcW w:type="dxa" w:w="1452"/>
            <w:shd w:fill="F4F6F4"/>
          </w:tcPr>
          <w:p>
            <w:pPr>
              <w:spacing w:after="0"/>
            </w:pPr>
            <w:r/>
            <w:r>
              <w:rPr>
                <w:b w:val="0"/>
              </w:rPr>
              <w:t>18</w:t>
            </w:r>
          </w:p>
        </w:tc>
        <w:tc>
          <w:tcPr>
            <w:tcW w:type="dxa" w:w="1452"/>
            <w:shd w:fill="F4F6F4"/>
          </w:tcPr>
          <w:p>
            <w:pPr>
              <w:spacing w:after="0"/>
            </w:pPr>
            <w:r/>
            <w:r>
              <w:rPr>
                <w:b w:val="0"/>
              </w:rPr>
              <w:t>Dense emergent vegetation</w:t>
            </w:r>
          </w:p>
        </w:tc>
      </w:tr>
      <w:tr>
        <w:tc>
          <w:tcPr>
            <w:tcW w:type="dxa" w:w="1452"/>
          </w:tcPr>
          <w:p>
            <w:pPr>
              <w:spacing w:after="0"/>
            </w:pPr>
            <w:r/>
            <w:r>
              <w:rPr>
                <w:b/>
              </w:rPr>
              <w:t>S3</w:t>
            </w:r>
          </w:p>
        </w:tc>
        <w:tc>
          <w:tcPr>
            <w:tcW w:type="dxa" w:w="1452"/>
          </w:tcPr>
          <w:p>
            <w:pPr>
              <w:spacing w:after="0"/>
            </w:pPr>
            <w:r/>
            <w:r>
              <w:rPr>
                <w:b w:val="0"/>
              </w:rPr>
              <w:t>A</w:t>
            </w:r>
          </w:p>
        </w:tc>
        <w:tc>
          <w:tcPr>
            <w:tcW w:type="dxa" w:w="1452"/>
          </w:tcPr>
          <w:p>
            <w:pPr>
              <w:spacing w:after="0"/>
            </w:pPr>
            <w:r/>
            <w:r>
              <w:rPr>
                <w:b w:val="0"/>
              </w:rPr>
              <w:t>.17</w:t>
            </w:r>
          </w:p>
        </w:tc>
        <w:tc>
          <w:tcPr>
            <w:tcW w:type="dxa" w:w="1452"/>
          </w:tcPr>
          <w:p>
            <w:pPr>
              <w:spacing w:after="0"/>
            </w:pPr>
            <w:r/>
            <w:r>
              <w:rPr>
                <w:b w:val="0"/>
              </w:rPr>
              <w:t>.55</w:t>
            </w:r>
          </w:p>
        </w:tc>
        <w:tc>
          <w:tcPr>
            <w:tcW w:type="dxa" w:w="1452"/>
          </w:tcPr>
          <w:p>
            <w:pPr>
              <w:spacing w:after="0"/>
            </w:pPr>
            <w:r/>
            <w:r>
              <w:rPr>
                <w:b w:val="0"/>
              </w:rPr>
              <w:t>.53</w:t>
            </w:r>
          </w:p>
        </w:tc>
        <w:tc>
          <w:tcPr>
            <w:tcW w:type="dxa" w:w="1452"/>
          </w:tcPr>
          <w:p>
            <w:pPr>
              <w:spacing w:after="0"/>
            </w:pPr>
            <w:r/>
            <w:r>
              <w:rPr>
                <w:b w:val="0"/>
              </w:rPr>
              <w:t>25</w:t>
            </w:r>
          </w:p>
        </w:tc>
        <w:tc>
          <w:tcPr>
            <w:tcW w:type="dxa" w:w="1452"/>
          </w:tcPr>
          <w:p>
            <w:pPr>
              <w:spacing w:after="0"/>
            </w:pPr>
            <w:r/>
            <w:r>
              <w:rPr>
                <w:b w:val="0"/>
              </w:rPr>
              <w:t>No visible discoloration</w:t>
            </w:r>
          </w:p>
        </w:tc>
      </w:tr>
      <w:tr>
        <w:tc>
          <w:tcPr>
            <w:tcW w:type="dxa" w:w="1452"/>
            <w:shd w:fill="F4F6F4"/>
          </w:tcPr>
          <w:p>
            <w:pPr>
              <w:spacing w:after="0"/>
            </w:pPr>
            <w:r/>
            <w:r>
              <w:rPr>
                <w:b/>
              </w:rPr>
              <w:t>S4</w:t>
            </w:r>
          </w:p>
        </w:tc>
        <w:tc>
          <w:tcPr>
            <w:tcW w:type="dxa" w:w="1452"/>
            <w:shd w:fill="F4F6F4"/>
          </w:tcPr>
          <w:p>
            <w:pPr>
              <w:spacing w:after="0"/>
            </w:pPr>
            <w:r/>
            <w:r>
              <w:rPr>
                <w:b w:val="0"/>
              </w:rPr>
              <w:t>B</w:t>
            </w:r>
          </w:p>
        </w:tc>
        <w:tc>
          <w:tcPr>
            <w:tcW w:type="dxa" w:w="1452"/>
            <w:shd w:fill="F4F6F4"/>
          </w:tcPr>
          <w:p>
            <w:pPr>
              <w:spacing w:after="0"/>
            </w:pPr>
            <w:r/>
            <w:r>
              <w:rPr>
                <w:b w:val="0"/>
              </w:rPr>
              <w:t>.25</w:t>
            </w:r>
          </w:p>
        </w:tc>
        <w:tc>
          <w:tcPr>
            <w:tcW w:type="dxa" w:w="1452"/>
            <w:shd w:fill="F4F6F4"/>
          </w:tcPr>
          <w:p>
            <w:pPr>
              <w:spacing w:after="0"/>
            </w:pPr>
            <w:r/>
            <w:r>
              <w:rPr>
                <w:b w:val="0"/>
              </w:rPr>
              <w:t>.51</w:t>
            </w:r>
          </w:p>
        </w:tc>
        <w:tc>
          <w:tcPr>
            <w:tcW w:type="dxa" w:w="1452"/>
            <w:shd w:fill="F4F6F4"/>
          </w:tcPr>
          <w:p>
            <w:pPr>
              <w:spacing w:after="0"/>
            </w:pPr>
            <w:r/>
            <w:r>
              <w:rPr>
                <w:b w:val="0"/>
              </w:rPr>
              <w:t>.34</w:t>
            </w:r>
          </w:p>
        </w:tc>
        <w:tc>
          <w:tcPr>
            <w:tcW w:type="dxa" w:w="1452"/>
            <w:shd w:fill="F4F6F4"/>
          </w:tcPr>
          <w:p>
            <w:pPr>
              <w:spacing w:after="0"/>
            </w:pPr>
            <w:r/>
            <w:r>
              <w:rPr>
                <w:b w:val="0"/>
              </w:rPr>
              <w:t>9</w:t>
            </w:r>
          </w:p>
        </w:tc>
        <w:tc>
          <w:tcPr>
            <w:tcW w:type="dxa" w:w="1452"/>
            <w:shd w:fill="F4F6F4"/>
          </w:tcPr>
          <w:p>
            <w:pPr>
              <w:spacing w:after="0"/>
            </w:pPr>
            <w:r/>
            <w:r>
              <w:rPr>
                <w:b w:val="0"/>
              </w:rPr>
              <w:t>Patchy vegetation</w:t>
            </w:r>
          </w:p>
        </w:tc>
      </w:tr>
      <w:tr>
        <w:tc>
          <w:tcPr>
            <w:tcW w:type="dxa" w:w="1452"/>
          </w:tcPr>
          <w:p>
            <w:pPr>
              <w:spacing w:after="0"/>
            </w:pPr>
            <w:r/>
            <w:r>
              <w:rPr>
                <w:b/>
              </w:rPr>
              <w:t>S5</w:t>
            </w:r>
          </w:p>
        </w:tc>
        <w:tc>
          <w:tcPr>
            <w:tcW w:type="dxa" w:w="1452"/>
          </w:tcPr>
          <w:p>
            <w:pPr>
              <w:spacing w:after="0"/>
            </w:pPr>
            <w:r/>
            <w:r>
              <w:rPr>
                <w:b w:val="0"/>
              </w:rPr>
              <w:t>B</w:t>
            </w:r>
          </w:p>
        </w:tc>
        <w:tc>
          <w:tcPr>
            <w:tcW w:type="dxa" w:w="1452"/>
          </w:tcPr>
          <w:p>
            <w:pPr>
              <w:spacing w:after="0"/>
            </w:pPr>
            <w:r/>
            <w:r>
              <w:rPr>
                <w:b w:val="0"/>
              </w:rPr>
              <w:t>.29</w:t>
            </w:r>
          </w:p>
        </w:tc>
        <w:tc>
          <w:tcPr>
            <w:tcW w:type="dxa" w:w="1452"/>
          </w:tcPr>
          <w:p>
            <w:pPr>
              <w:spacing w:after="0"/>
            </w:pPr>
            <w:r/>
            <w:r>
              <w:rPr>
                <w:b w:val="0"/>
              </w:rPr>
              <w:t>.49</w:t>
            </w:r>
          </w:p>
        </w:tc>
        <w:tc>
          <w:tcPr>
            <w:tcW w:type="dxa" w:w="1452"/>
          </w:tcPr>
          <w:p>
            <w:pPr>
              <w:spacing w:after="0"/>
            </w:pPr>
            <w:r/>
            <w:r>
              <w:rPr>
                <w:b w:val="0"/>
              </w:rPr>
              <w:t>.26</w:t>
            </w:r>
          </w:p>
        </w:tc>
        <w:tc>
          <w:tcPr>
            <w:tcW w:type="dxa" w:w="1452"/>
          </w:tcPr>
          <w:p>
            <w:pPr>
              <w:spacing w:after="0"/>
            </w:pPr>
            <w:r/>
            <w:r>
              <w:rPr>
                <w:b w:val="0"/>
              </w:rPr>
              <w:t>7</w:t>
            </w:r>
          </w:p>
        </w:tc>
        <w:tc>
          <w:tcPr>
            <w:tcW w:type="dxa" w:w="1452"/>
          </w:tcPr>
          <w:p>
            <w:pPr>
              <w:spacing w:after="0"/>
            </w:pPr>
            <w:r/>
            <w:r>
              <w:rPr>
                <w:b w:val="0"/>
              </w:rPr>
              <w:t>Yellow-brown leaves</w:t>
            </w:r>
          </w:p>
        </w:tc>
      </w:tr>
      <w:tr>
        <w:tc>
          <w:tcPr>
            <w:tcW w:type="dxa" w:w="1452"/>
            <w:shd w:fill="F4F6F4"/>
          </w:tcPr>
          <w:p>
            <w:pPr>
              <w:spacing w:after="0"/>
            </w:pPr>
            <w:r/>
            <w:r>
              <w:rPr>
                <w:b/>
              </w:rPr>
              <w:t>S6</w:t>
            </w:r>
          </w:p>
        </w:tc>
        <w:tc>
          <w:tcPr>
            <w:tcW w:type="dxa" w:w="1452"/>
            <w:shd w:fill="F4F6F4"/>
          </w:tcPr>
          <w:p>
            <w:pPr>
              <w:spacing w:after="0"/>
            </w:pPr>
            <w:r/>
            <w:r>
              <w:rPr>
                <w:b w:val="0"/>
              </w:rPr>
              <w:t>B</w:t>
            </w:r>
          </w:p>
        </w:tc>
        <w:tc>
          <w:tcPr>
            <w:tcW w:type="dxa" w:w="1452"/>
            <w:shd w:fill="F4F6F4"/>
          </w:tcPr>
          <w:p>
            <w:pPr>
              <w:spacing w:after="0"/>
            </w:pPr>
            <w:r/>
            <w:r>
              <w:rPr>
                <w:b w:val="0"/>
              </w:rPr>
              <w:t>.31</w:t>
            </w:r>
          </w:p>
        </w:tc>
        <w:tc>
          <w:tcPr>
            <w:tcW w:type="dxa" w:w="1452"/>
            <w:shd w:fill="F4F6F4"/>
          </w:tcPr>
          <w:p>
            <w:pPr>
              <w:spacing w:after="0"/>
            </w:pPr>
            <w:r/>
            <w:r>
              <w:rPr>
                <w:b w:val="0"/>
              </w:rPr>
              <w:t>.46</w:t>
            </w:r>
          </w:p>
        </w:tc>
        <w:tc>
          <w:tcPr>
            <w:tcW w:type="dxa" w:w="1452"/>
            <w:shd w:fill="F4F6F4"/>
          </w:tcPr>
          <w:p>
            <w:pPr>
              <w:spacing w:after="0"/>
            </w:pPr>
            <w:r/>
            <w:r>
              <w:rPr>
                <w:b w:val="0"/>
              </w:rPr>
              <w:t>.19</w:t>
            </w:r>
          </w:p>
        </w:tc>
        <w:tc>
          <w:tcPr>
            <w:tcW w:type="dxa" w:w="1452"/>
            <w:shd w:fill="F4F6F4"/>
          </w:tcPr>
          <w:p>
            <w:pPr>
              <w:spacing w:after="0"/>
            </w:pPr>
            <w:r/>
            <w:r>
              <w:rPr>
                <w:b w:val="0"/>
              </w:rPr>
              <w:t>5</w:t>
            </w:r>
          </w:p>
        </w:tc>
        <w:tc>
          <w:tcPr>
            <w:tcW w:type="dxa" w:w="1452"/>
            <w:shd w:fill="F4F6F4"/>
          </w:tcPr>
          <w:p>
            <w:pPr>
              <w:spacing w:after="0"/>
            </w:pPr>
            <w:r/>
            <w:r>
              <w:rPr>
                <w:b w:val="0"/>
              </w:rPr>
              <w:t>Bare soil between stems</w:t>
            </w:r>
          </w:p>
        </w:tc>
      </w:tr>
      <w:tr>
        <w:tc>
          <w:tcPr>
            <w:tcW w:type="dxa" w:w="1452"/>
          </w:tcPr>
          <w:p>
            <w:pPr>
              <w:spacing w:after="0"/>
            </w:pPr>
            <w:r/>
            <w:r>
              <w:rPr>
                <w:b/>
              </w:rPr>
              <w:t>S7</w:t>
            </w:r>
          </w:p>
        </w:tc>
        <w:tc>
          <w:tcPr>
            <w:tcW w:type="dxa" w:w="1452"/>
          </w:tcPr>
          <w:p>
            <w:pPr>
              <w:spacing w:after="0"/>
            </w:pPr>
            <w:r/>
            <w:r>
              <w:rPr>
                <w:b w:val="0"/>
              </w:rPr>
              <w:t>C</w:t>
            </w:r>
          </w:p>
        </w:tc>
        <w:tc>
          <w:tcPr>
            <w:tcW w:type="dxa" w:w="1452"/>
          </w:tcPr>
          <w:p>
            <w:pPr>
              <w:spacing w:after="0"/>
            </w:pPr>
            <w:r/>
            <w:r>
              <w:rPr>
                <w:b w:val="0"/>
              </w:rPr>
              <w:t>.14</w:t>
            </w:r>
          </w:p>
        </w:tc>
        <w:tc>
          <w:tcPr>
            <w:tcW w:type="dxa" w:w="1452"/>
          </w:tcPr>
          <w:p>
            <w:pPr>
              <w:spacing w:after="0"/>
            </w:pPr>
            <w:r/>
            <w:r>
              <w:rPr>
                <w:b w:val="0"/>
              </w:rPr>
              <w:t>.08</w:t>
            </w:r>
          </w:p>
        </w:tc>
        <w:tc>
          <w:tcPr>
            <w:tcW w:type="dxa" w:w="1452"/>
          </w:tcPr>
          <w:p>
            <w:pPr>
              <w:spacing w:after="0"/>
            </w:pPr>
            <w:r/>
            <w:r>
              <w:rPr>
                <w:b w:val="0"/>
              </w:rPr>
              <w:t>-.27</w:t>
            </w:r>
          </w:p>
        </w:tc>
        <w:tc>
          <w:tcPr>
            <w:tcW w:type="dxa" w:w="1452"/>
          </w:tcPr>
          <w:p>
            <w:pPr>
              <w:spacing w:after="0"/>
            </w:pPr>
            <w:r/>
            <w:r>
              <w:rPr>
                <w:b w:val="0"/>
              </w:rPr>
              <w:t>61</w:t>
            </w:r>
          </w:p>
        </w:tc>
        <w:tc>
          <w:tcPr>
            <w:tcW w:type="dxa" w:w="1452"/>
          </w:tcPr>
          <w:p>
            <w:pPr>
              <w:spacing w:after="0"/>
            </w:pPr>
            <w:r/>
            <w:r>
              <w:rPr>
                <w:b w:val="0"/>
              </w:rPr>
              <w:t>Open water</w:t>
            </w:r>
          </w:p>
        </w:tc>
      </w:tr>
      <w:tr>
        <w:tc>
          <w:tcPr>
            <w:tcW w:type="dxa" w:w="1452"/>
            <w:shd w:fill="F4F6F4"/>
          </w:tcPr>
          <w:p>
            <w:pPr>
              <w:spacing w:after="0"/>
            </w:pPr>
            <w:r/>
            <w:r>
              <w:rPr>
                <w:b/>
              </w:rPr>
              <w:t>S8</w:t>
            </w:r>
          </w:p>
        </w:tc>
        <w:tc>
          <w:tcPr>
            <w:tcW w:type="dxa" w:w="1452"/>
            <w:shd w:fill="F4F6F4"/>
          </w:tcPr>
          <w:p>
            <w:pPr>
              <w:spacing w:after="0"/>
            </w:pPr>
            <w:r/>
            <w:r>
              <w:rPr>
                <w:b w:val="0"/>
              </w:rPr>
              <w:t>C</w:t>
            </w:r>
          </w:p>
        </w:tc>
        <w:tc>
          <w:tcPr>
            <w:tcW w:type="dxa" w:w="1452"/>
            <w:shd w:fill="F4F6F4"/>
          </w:tcPr>
          <w:p>
            <w:pPr>
              <w:spacing w:after="0"/>
            </w:pPr>
            <w:r/>
            <w:r>
              <w:rPr>
                <w:b w:val="0"/>
              </w:rPr>
              <w:t>.12</w:t>
            </w:r>
          </w:p>
        </w:tc>
        <w:tc>
          <w:tcPr>
            <w:tcW w:type="dxa" w:w="1452"/>
            <w:shd w:fill="F4F6F4"/>
          </w:tcPr>
          <w:p>
            <w:pPr>
              <w:spacing w:after="0"/>
            </w:pPr>
            <w:r/>
            <w:r>
              <w:rPr>
                <w:b w:val="0"/>
              </w:rPr>
              <w:t>.10</w:t>
            </w:r>
          </w:p>
        </w:tc>
        <w:tc>
          <w:tcPr>
            <w:tcW w:type="dxa" w:w="1452"/>
            <w:shd w:fill="F4F6F4"/>
          </w:tcPr>
          <w:p>
            <w:pPr>
              <w:spacing w:after="0"/>
            </w:pPr>
            <w:r/>
            <w:r>
              <w:rPr>
                <w:b w:val="0"/>
              </w:rPr>
              <w:t>-.09</w:t>
            </w:r>
          </w:p>
        </w:tc>
        <w:tc>
          <w:tcPr>
            <w:tcW w:type="dxa" w:w="1452"/>
            <w:shd w:fill="F4F6F4"/>
          </w:tcPr>
          <w:p>
            <w:pPr>
              <w:spacing w:after="0"/>
            </w:pPr>
            <w:r/>
            <w:r>
              <w:rPr>
                <w:b w:val="0"/>
              </w:rPr>
              <w:t>54</w:t>
            </w:r>
          </w:p>
        </w:tc>
        <w:tc>
          <w:tcPr>
            <w:tcW w:type="dxa" w:w="1452"/>
            <w:shd w:fill="F4F6F4"/>
          </w:tcPr>
          <w:p>
            <w:pPr>
              <w:spacing w:after="0"/>
            </w:pPr>
            <w:r/>
            <w:r>
              <w:rPr>
                <w:b w:val="0"/>
              </w:rPr>
              <w:t>Sparse floating vegetation</w:t>
            </w:r>
          </w:p>
        </w:tc>
      </w:tr>
      <w:tr>
        <w:tc>
          <w:tcPr>
            <w:tcW w:type="dxa" w:w="1452"/>
          </w:tcPr>
          <w:p>
            <w:pPr>
              <w:spacing w:after="0"/>
            </w:pPr>
            <w:r/>
            <w:r>
              <w:rPr>
                <w:b/>
              </w:rPr>
              <w:t>S9</w:t>
            </w:r>
          </w:p>
        </w:tc>
        <w:tc>
          <w:tcPr>
            <w:tcW w:type="dxa" w:w="1452"/>
          </w:tcPr>
          <w:p>
            <w:pPr>
              <w:spacing w:after="0"/>
            </w:pPr>
            <w:r/>
            <w:r>
              <w:rPr>
                <w:b w:val="0"/>
              </w:rPr>
              <w:t>C</w:t>
            </w:r>
          </w:p>
        </w:tc>
        <w:tc>
          <w:tcPr>
            <w:tcW w:type="dxa" w:w="1452"/>
          </w:tcPr>
          <w:p>
            <w:pPr>
              <w:spacing w:after="0"/>
            </w:pPr>
            <w:r/>
            <w:r>
              <w:rPr>
                <w:b w:val="0"/>
              </w:rPr>
              <w:t>.15</w:t>
            </w:r>
          </w:p>
        </w:tc>
        <w:tc>
          <w:tcPr>
            <w:tcW w:type="dxa" w:w="1452"/>
          </w:tcPr>
          <w:p>
            <w:pPr>
              <w:spacing w:after="0"/>
            </w:pPr>
            <w:r/>
            <w:r>
              <w:rPr>
                <w:b w:val="0"/>
              </w:rPr>
              <w:t>.13</w:t>
            </w:r>
          </w:p>
        </w:tc>
        <w:tc>
          <w:tcPr>
            <w:tcW w:type="dxa" w:w="1452"/>
          </w:tcPr>
          <w:p>
            <w:pPr>
              <w:spacing w:after="0"/>
            </w:pPr>
            <w:r/>
            <w:r>
              <w:rPr>
                <w:b w:val="0"/>
              </w:rPr>
              <w:t>-.07</w:t>
            </w:r>
          </w:p>
        </w:tc>
        <w:tc>
          <w:tcPr>
            <w:tcW w:type="dxa" w:w="1452"/>
          </w:tcPr>
          <w:p>
            <w:pPr>
              <w:spacing w:after="0"/>
            </w:pPr>
            <w:r/>
            <w:r>
              <w:rPr>
                <w:b w:val="0"/>
              </w:rPr>
              <w:t>48</w:t>
            </w:r>
          </w:p>
        </w:tc>
        <w:tc>
          <w:tcPr>
            <w:tcW w:type="dxa" w:w="1452"/>
          </w:tcPr>
          <w:p>
            <w:pPr>
              <w:spacing w:after="0"/>
            </w:pPr>
            <w:r/>
            <w:r>
              <w:rPr>
                <w:b w:val="0"/>
              </w:rPr>
              <w:t>Open-water edge</w:t>
            </w:r>
          </w:p>
        </w:tc>
      </w:tr>
      <w:tr>
        <w:tc>
          <w:tcPr>
            <w:tcW w:type="dxa" w:w="1452"/>
            <w:shd w:fill="F4F6F4"/>
          </w:tcPr>
          <w:p>
            <w:pPr>
              <w:spacing w:after="0"/>
            </w:pPr>
            <w:r/>
            <w:r>
              <w:rPr>
                <w:b/>
              </w:rPr>
              <w:t>S10</w:t>
            </w:r>
          </w:p>
        </w:tc>
        <w:tc>
          <w:tcPr>
            <w:tcW w:type="dxa" w:w="1452"/>
            <w:shd w:fill="F4F6F4"/>
          </w:tcPr>
          <w:p>
            <w:pPr>
              <w:spacing w:after="0"/>
            </w:pPr>
            <w:r/>
            <w:r>
              <w:rPr>
                <w:b w:val="0"/>
              </w:rPr>
              <w:t>D</w:t>
            </w:r>
          </w:p>
        </w:tc>
        <w:tc>
          <w:tcPr>
            <w:tcW w:type="dxa" w:w="1452"/>
            <w:shd w:fill="F4F6F4"/>
          </w:tcPr>
          <w:p>
            <w:pPr>
              <w:spacing w:after="0"/>
            </w:pPr>
            <w:r/>
            <w:r>
              <w:rPr>
                <w:b w:val="0"/>
              </w:rPr>
              <w:t>.21</w:t>
            </w:r>
          </w:p>
        </w:tc>
        <w:tc>
          <w:tcPr>
            <w:tcW w:type="dxa" w:w="1452"/>
            <w:shd w:fill="F4F6F4"/>
          </w:tcPr>
          <w:p>
            <w:pPr>
              <w:spacing w:after="0"/>
            </w:pPr>
            <w:r/>
            <w:r>
              <w:rPr>
                <w:b w:val="0"/>
              </w:rPr>
              <w:t>.60</w:t>
            </w:r>
          </w:p>
        </w:tc>
        <w:tc>
          <w:tcPr>
            <w:tcW w:type="dxa" w:w="1452"/>
            <w:shd w:fill="F4F6F4"/>
          </w:tcPr>
          <w:p>
            <w:pPr>
              <w:spacing w:after="0"/>
            </w:pPr>
            <w:r/>
            <w:r>
              <w:rPr>
                <w:b w:val="0"/>
              </w:rPr>
              <w:t>.48</w:t>
            </w:r>
          </w:p>
        </w:tc>
        <w:tc>
          <w:tcPr>
            <w:tcW w:type="dxa" w:w="1452"/>
            <w:shd w:fill="F4F6F4"/>
          </w:tcPr>
          <w:p>
            <w:pPr>
              <w:spacing w:after="0"/>
            </w:pPr>
            <w:r/>
            <w:r>
              <w:rPr>
                <w:b w:val="0"/>
              </w:rPr>
              <w:t>15</w:t>
            </w:r>
          </w:p>
        </w:tc>
        <w:tc>
          <w:tcPr>
            <w:tcW w:type="dxa" w:w="1452"/>
            <w:shd w:fill="F4F6F4"/>
          </w:tcPr>
          <w:p>
            <w:pPr>
              <w:spacing w:after="0"/>
            </w:pPr>
            <w:r/>
            <w:r>
              <w:rPr>
                <w:b w:val="0"/>
              </w:rPr>
              <w:t>Mixed wetland vegetation</w:t>
            </w:r>
          </w:p>
        </w:tc>
      </w:tr>
      <w:tr>
        <w:tc>
          <w:tcPr>
            <w:tcW w:type="dxa" w:w="1452"/>
          </w:tcPr>
          <w:p>
            <w:pPr>
              <w:spacing w:after="0"/>
            </w:pPr>
            <w:r/>
            <w:r>
              <w:rPr>
                <w:b/>
              </w:rPr>
              <w:t>S11</w:t>
            </w:r>
          </w:p>
        </w:tc>
        <w:tc>
          <w:tcPr>
            <w:tcW w:type="dxa" w:w="1452"/>
          </w:tcPr>
          <w:p>
            <w:pPr>
              <w:spacing w:after="0"/>
            </w:pPr>
            <w:r/>
            <w:r>
              <w:rPr>
                <w:b w:val="0"/>
              </w:rPr>
              <w:t>D</w:t>
            </w:r>
          </w:p>
        </w:tc>
        <w:tc>
          <w:tcPr>
            <w:tcW w:type="dxa" w:w="1452"/>
          </w:tcPr>
          <w:p>
            <w:pPr>
              <w:spacing w:after="0"/>
            </w:pPr>
            <w:r/>
            <w:r>
              <w:rPr>
                <w:b w:val="0"/>
              </w:rPr>
              <w:t>.23</w:t>
            </w:r>
          </w:p>
        </w:tc>
        <w:tc>
          <w:tcPr>
            <w:tcW w:type="dxa" w:w="1452"/>
          </w:tcPr>
          <w:p>
            <w:pPr>
              <w:spacing w:after="0"/>
            </w:pPr>
            <w:r/>
            <w:r>
              <w:rPr>
                <w:b w:val="0"/>
              </w:rPr>
              <w:t>.57</w:t>
            </w:r>
          </w:p>
        </w:tc>
        <w:tc>
          <w:tcPr>
            <w:tcW w:type="dxa" w:w="1452"/>
          </w:tcPr>
          <w:p>
            <w:pPr>
              <w:spacing w:after="0"/>
            </w:pPr>
            <w:r/>
            <w:r>
              <w:rPr>
                <w:b w:val="0"/>
              </w:rPr>
              <w:t>.43</w:t>
            </w:r>
          </w:p>
        </w:tc>
        <w:tc>
          <w:tcPr>
            <w:tcW w:type="dxa" w:w="1452"/>
          </w:tcPr>
          <w:p>
            <w:pPr>
              <w:spacing w:after="0"/>
            </w:pPr>
            <w:r/>
            <w:r>
              <w:rPr>
                <w:b w:val="0"/>
              </w:rPr>
              <w:t>13</w:t>
            </w:r>
          </w:p>
        </w:tc>
        <w:tc>
          <w:tcPr>
            <w:tcW w:type="dxa" w:w="1452"/>
          </w:tcPr>
          <w:p>
            <w:pPr>
              <w:spacing w:after="0"/>
            </w:pPr>
            <w:r/>
            <w:r>
              <w:rPr>
                <w:b w:val="0"/>
              </w:rPr>
              <w:t>Mixed wetland vegetation</w:t>
            </w:r>
          </w:p>
        </w:tc>
      </w:tr>
      <w:tr>
        <w:tc>
          <w:tcPr>
            <w:tcW w:type="dxa" w:w="1452"/>
            <w:shd w:fill="F4F6F4"/>
          </w:tcPr>
          <w:p>
            <w:pPr>
              <w:spacing w:after="0"/>
            </w:pPr>
            <w:r/>
            <w:r>
              <w:rPr>
                <w:b/>
              </w:rPr>
              <w:t>S12</w:t>
            </w:r>
          </w:p>
        </w:tc>
        <w:tc>
          <w:tcPr>
            <w:tcW w:type="dxa" w:w="1452"/>
            <w:shd w:fill="F4F6F4"/>
          </w:tcPr>
          <w:p>
            <w:pPr>
              <w:spacing w:after="0"/>
            </w:pPr>
            <w:r/>
            <w:r>
              <w:rPr>
                <w:b w:val="0"/>
              </w:rPr>
              <w:t>D</w:t>
            </w:r>
          </w:p>
        </w:tc>
        <w:tc>
          <w:tcPr>
            <w:tcW w:type="dxa" w:w="1452"/>
            <w:shd w:fill="F4F6F4"/>
          </w:tcPr>
          <w:p>
            <w:pPr>
              <w:spacing w:after="0"/>
            </w:pPr>
            <w:r/>
            <w:r>
              <w:rPr>
                <w:b w:val="0"/>
              </w:rPr>
              <w:t>.20</w:t>
            </w:r>
          </w:p>
        </w:tc>
        <w:tc>
          <w:tcPr>
            <w:tcW w:type="dxa" w:w="1452"/>
            <w:shd w:fill="F4F6F4"/>
          </w:tcPr>
          <w:p>
            <w:pPr>
              <w:spacing w:after="0"/>
            </w:pPr>
            <w:r/>
            <w:r>
              <w:rPr>
                <w:b w:val="0"/>
              </w:rPr>
              <w:t>.55</w:t>
            </w:r>
          </w:p>
        </w:tc>
        <w:tc>
          <w:tcPr>
            <w:tcW w:type="dxa" w:w="1452"/>
            <w:shd w:fill="F4F6F4"/>
          </w:tcPr>
          <w:p>
            <w:pPr>
              <w:spacing w:after="0"/>
            </w:pPr>
            <w:r/>
            <w:r>
              <w:rPr>
                <w:b w:val="0"/>
              </w:rPr>
              <w:t>.47</w:t>
            </w:r>
          </w:p>
        </w:tc>
        <w:tc>
          <w:tcPr>
            <w:tcW w:type="dxa" w:w="1452"/>
            <w:shd w:fill="F4F6F4"/>
          </w:tcPr>
          <w:p>
            <w:pPr>
              <w:spacing w:after="0"/>
            </w:pPr>
            <w:r/>
            <w:r>
              <w:rPr>
                <w:b w:val="0"/>
              </w:rPr>
              <w:t>17</w:t>
            </w:r>
          </w:p>
        </w:tc>
        <w:tc>
          <w:tcPr>
            <w:tcW w:type="dxa" w:w="1452"/>
            <w:shd w:fill="F4F6F4"/>
          </w:tcPr>
          <w:p>
            <w:pPr>
              <w:spacing w:after="0"/>
            </w:pPr>
            <w:r/>
            <w:r>
              <w:rPr>
                <w:b w:val="0"/>
              </w:rPr>
              <w:t>No visible discoloration</w:t>
            </w:r>
          </w:p>
        </w:tc>
      </w:tr>
    </w:tbl>
    <w:p>
      <w:pPr>
        <w:pStyle w:val="Heading2"/>
      </w:pPr>
      <w:r>
        <w:t>Expected calculations and comparisons</w:t>
      </w:r>
    </w:p>
    <w:p>
      <w:pPr>
        <w:pStyle w:val="ListBullet"/>
      </w:pPr>
      <w:r>
        <w:t>Example: S6 NDVI = (0.46 - 0.31) / (0.46 + 0.31) = 0.15 / 0.77 = 0.19.</w:t>
      </w:r>
    </w:p>
    <w:p>
      <w:pPr>
        <w:pStyle w:val="ListBullet"/>
      </w:pPr>
      <w:r>
        <w:t>Zone B sample mean = (0.34 + 0.26 + 0.19) / 3 = 0.26.</w:t>
      </w:r>
    </w:p>
    <w:p>
      <w:pPr>
        <w:pStyle w:val="ListBullet"/>
      </w:pPr>
      <w:r>
        <w:t>Zone A sample mean = 0.51; Zone D sample mean = 0.46. Zone B is about 0.25 below Zone A and 0.20 below Zone D.</w:t>
      </w:r>
    </w:p>
    <w:p>
      <w:pPr>
        <w:pStyle w:val="ListBullet"/>
      </w:pPr>
      <w:r>
        <w:t>Zone B also becomes progressively lower from S4 to S6 while water depth declines from 9 cm to 5 cm. This is a useful association to test, not proof that shallow water caused the pattern.</w:t>
      </w:r>
    </w:p>
    <w:p>
      <w:pPr>
        <w:pStyle w:val="ListBullet"/>
      </w:pPr>
      <w:r>
        <w:t>Zone C's mean is approximately -0.14, but it represents open water and should not be compared as if it were a vegetated reference zone.</w:t>
      </w:r>
    </w:p>
    <w:p>
      <w:r>
        <w:br w:type="page"/>
      </w:r>
    </w:p>
    <w:p>
      <w:pPr>
        <w:spacing w:after="160"/>
      </w:pPr>
      <w:r>
        <w:rPr>
          <w:b/>
          <w:color w:val="19758A"/>
          <w:sz w:val="18"/>
        </w:rPr>
        <w:t>PART 4 · COMPLETED CAPSTONE MODEL</w:t>
      </w:r>
    </w:p>
    <w:p>
      <w:pPr>
        <w:pStyle w:val="Heading1"/>
      </w:pPr>
      <w:r>
        <w:t>Marshview Wetland vegetation-stress investigation</w:t>
      </w:r>
    </w:p>
    <w:p>
      <w:pPr>
        <w:pStyle w:val="Heading2"/>
      </w:pPr>
      <w:r>
        <w:t>Executive summary</w:t>
      </w:r>
    </w:p>
    <w:p>
      <w:r>
        <w:t>The mapped evidence supports Zone B as the first location for targeted ground investigation. Zone B combines lower positive NDVI values, visible patchiness, shallow-water measurements, yellow-brown leaves, and exposed soil. Zones A and D provide stronger vegetated reference conditions. Zone C has lower NDVI values, but it is open water. The imagery does not establish a cause, so the recommended action is a focused field survey and repeat imagery before any treatment or restoration decision.</w:t>
      </w:r>
    </w:p>
    <w:p>
      <w:pPr>
        <w:pStyle w:val="Heading2"/>
      </w:pPr>
      <w:r>
        <w:t>Focused research question</w:t>
      </w:r>
    </w:p>
    <w:tbl>
      <w:tblPr>
        <w:tblW w:type="auto" w:w="0"/>
        <w:jc w:val="center"/>
        <w:tblLayout w:type="fixed"/>
        <w:tblLook w:firstColumn="1" w:firstRow="1" w:lastColumn="0" w:lastRow="0" w:noHBand="0" w:noVBand="1" w:val="04A0"/>
      </w:tblPr>
      <w:tblGrid>
        <w:gridCol w:w="10166"/>
      </w:tblGrid>
      <w:tr>
        <w:tc>
          <w:tcPr>
            <w:tcW w:type="dxa" w:w="9864"/>
            <w:shd w:fill="EEF3EF"/>
          </w:tcPr>
          <w:p>
            <w:pPr>
              <w:spacing w:after="60"/>
            </w:pPr>
            <w:r>
              <w:rPr>
                <w:b/>
                <w:color w:val="173F52"/>
              </w:rPr>
              <w:t>Model question</w:t>
            </w:r>
          </w:p>
          <w:p>
            <w:pPr>
              <w:spacing w:after="0"/>
            </w:pPr>
            <w:r>
              <w:t>Where does the Marshview imagery show an anomalous vegetation signal, and what field observations are needed to distinguish hydrologic stress from other explanations?</w:t>
            </w:r>
          </w:p>
        </w:tc>
      </w:tr>
    </w:tbl>
    <w:p>
      <w:pPr>
        <w:pStyle w:val="Heading2"/>
      </w:pPr>
      <w:r>
        <w:t>Sensor and flight-design explanation</w:t>
      </w:r>
    </w:p>
    <w:p>
      <w:r>
        <w:t>The demonstration uses a DJI Mavic 3 Multispectral at 200 ft AGL (61 m) on a nadir mapping grid. The RGB camera records visible red, green, and blue reflectance for natural-color interpretation. The multispectral system records narrow spectral bands, including red and near-infrared, used to calculate NDVI. Overlapping images are processed into aligned orthomosaics so patterns can be compared spatially. Consistent illumination, radiometric calibration, positional accuracy, overlap, focus, and timing affect the reliability of the products.</w:t>
      </w:r>
    </w:p>
    <w:p>
      <w:pPr>
        <w:pStyle w:val="Heading2"/>
      </w:pPr>
      <w:r>
        <w:t>Methods</w:t>
      </w:r>
    </w:p>
    <w:p>
      <w:pPr>
        <w:pStyle w:val="ListBullet"/>
      </w:pPr>
      <w:r>
        <w:t>Compare the natural-color orthomosaic and NDVI surface using identical zone boundaries.</w:t>
      </w:r>
    </w:p>
    <w:p>
      <w:pPr>
        <w:pStyle w:val="ListBullet"/>
      </w:pPr>
      <w:r>
        <w:t>Review individual red, NIR, NDVI, water-depth, and field-note values for S1-S12.</w:t>
      </w:r>
    </w:p>
    <w:p>
      <w:pPr>
        <w:pStyle w:val="ListBullet"/>
      </w:pPr>
      <w:r>
        <w:t>Compare Zone B with vegetated reference Zones A and D; use Zone C to explain the water response.</w:t>
      </w:r>
    </w:p>
    <w:p>
      <w:pPr>
        <w:pStyle w:val="ListBullet"/>
      </w:pPr>
      <w:r>
        <w:t>Identify alternative explanations and design field observations that could discriminate among them.</w:t>
      </w:r>
    </w:p>
    <w:p>
      <w:pPr>
        <w:pStyle w:val="Heading2"/>
      </w:pPr>
      <w:r>
        <w:t>Results</w:t>
      </w:r>
    </w:p>
    <w:p>
      <w:r>
        <w:t>Zone B contains the clearest anomalous vegetation pattern. Its samples range from 0.19 to 0.34 NDVI (mean 0.26), compared with 0.50-0.53 in Zone A (mean 0.51) and 0.43-0.48 in Zone D (mean 0.46). Field notes describe patchy vegetation at S4, yellow-brown leaves at S5, and bare soil between stems at S6. Measured water depth decreases from 9 cm to 5 cm across those samples. Zone C values range from -0.27 to -0.07 and correspond to open water or sparse floating vegetation.</w:t>
      </w:r>
    </w:p>
    <w:p>
      <w:r>
        <w:br w:type="page"/>
      </w:r>
    </w:p>
    <w:p>
      <w:pPr>
        <w:spacing w:after="160"/>
      </w:pPr>
      <w:r>
        <w:rPr>
          <w:b/>
          <w:color w:val="19758A"/>
          <w:sz w:val="18"/>
        </w:rPr>
        <w:t>PART 4 · COMPLETED CAPSTONE MODEL, CONTINUED</w:t>
      </w:r>
    </w:p>
    <w:p>
      <w:pPr>
        <w:pStyle w:val="Heading1"/>
      </w:pPr>
      <w:r>
        <w:t>Claim, evidence, and reasoning</w:t>
      </w:r>
    </w:p>
    <w:tbl>
      <w:tblPr>
        <w:tblStyle w:val="TableGrid"/>
        <w:tblW w:type="auto" w:w="0"/>
        <w:tblLook w:firstColumn="1" w:firstRow="1" w:lastColumn="0" w:lastRow="0" w:noHBand="0" w:noVBand="1" w:val="04A0"/>
      </w:tblPr>
      <w:tblGrid>
        <w:gridCol w:w="5083"/>
        <w:gridCol w:w="5083"/>
      </w:tblGrid>
      <w:tr>
        <w:tc>
          <w:tcPr>
            <w:tcW w:type="dxa" w:w="5083"/>
            <w:shd w:fill="EEF3EF"/>
          </w:tcPr>
          <w:p>
            <w:pPr>
              <w:spacing w:after="0"/>
            </w:pPr>
            <w:r/>
            <w:r>
              <w:rPr>
                <w:b/>
              </w:rPr>
              <w:t>Claim</w:t>
            </w:r>
          </w:p>
        </w:tc>
        <w:tc>
          <w:tcPr>
            <w:tcW w:type="dxa" w:w="5083"/>
          </w:tcPr>
          <w:p>
            <w:pPr>
              <w:spacing w:after="0"/>
            </w:pPr>
            <w:r/>
            <w:r>
              <w:rPr>
                <w:b w:val="0"/>
              </w:rPr>
              <w:t>Zone B should receive the first targeted ground inspection for possible vegetation stress.</w:t>
            </w:r>
          </w:p>
        </w:tc>
      </w:tr>
      <w:tr>
        <w:tc>
          <w:tcPr>
            <w:tcW w:type="dxa" w:w="5083"/>
            <w:shd w:fill="EEF3EF"/>
          </w:tcPr>
          <w:p>
            <w:pPr>
              <w:spacing w:after="0"/>
            </w:pPr>
            <w:r/>
            <w:r>
              <w:rPr>
                <w:b/>
              </w:rPr>
              <w:t>Evidence</w:t>
            </w:r>
          </w:p>
        </w:tc>
        <w:tc>
          <w:tcPr>
            <w:tcW w:type="dxa" w:w="5083"/>
          </w:tcPr>
          <w:p>
            <w:pPr>
              <w:spacing w:after="0"/>
            </w:pPr>
            <w:r/>
            <w:r>
              <w:rPr>
                <w:b w:val="0"/>
              </w:rPr>
              <w:t>Zone B has substantially lower positive NDVI than vegetated references, a visible patchy pattern, stress-related field notes, and shallow-water measurements.</w:t>
            </w:r>
          </w:p>
        </w:tc>
      </w:tr>
      <w:tr>
        <w:tc>
          <w:tcPr>
            <w:tcW w:type="dxa" w:w="5083"/>
            <w:shd w:fill="EEF3EF"/>
          </w:tcPr>
          <w:p>
            <w:pPr>
              <w:spacing w:after="0"/>
            </w:pPr>
            <w:r/>
            <w:r>
              <w:rPr>
                <w:b/>
              </w:rPr>
              <w:t>Reasoning</w:t>
            </w:r>
          </w:p>
        </w:tc>
        <w:tc>
          <w:tcPr>
            <w:tcW w:type="dxa" w:w="5083"/>
          </w:tcPr>
          <w:p>
            <w:pPr>
              <w:spacing w:after="0"/>
            </w:pPr>
            <w:r/>
            <w:r>
              <w:rPr>
                <w:b w:val="0"/>
              </w:rPr>
              <w:t>The agreement between spectral, visual, and field-note evidence makes Zone B anomalous among vegetated zones. Zone C's lower values reflect a different land-cover class - water - so they do not indicate a stronger vegetation-stress priority.</w:t>
            </w:r>
          </w:p>
        </w:tc>
      </w:tr>
    </w:tbl>
    <w:p>
      <w:pPr>
        <w:pStyle w:val="Heading2"/>
      </w:pPr>
      <w:r>
        <w:t>Alternative explanations and uncertainty</w:t>
      </w:r>
    </w:p>
    <w:p>
      <w:pPr>
        <w:pStyle w:val="ListBullet"/>
      </w:pPr>
      <w:r>
        <w:t>Hydrology: lower water depth or altered hydroperiod may affect vegetation cover and reflectance.</w:t>
      </w:r>
    </w:p>
    <w:p>
      <w:pPr>
        <w:pStyle w:val="ListBullet"/>
      </w:pPr>
      <w:r>
        <w:t>Species composition or phenology: different plants or seasonal stages may have different spectral responses without being unhealthy.</w:t>
      </w:r>
    </w:p>
    <w:p>
      <w:pPr>
        <w:pStyle w:val="ListBullet"/>
      </w:pPr>
      <w:r>
        <w:t>Salinity, soil exposure, nutrient status, pests, disease, mowing, trampling, or recent disturbance could produce similar patterns.</w:t>
      </w:r>
    </w:p>
    <w:p>
      <w:pPr>
        <w:pStyle w:val="ListBullet"/>
      </w:pPr>
      <w:r>
        <w:t>Calibration, shadows, illumination changes, mixed pixels, image seams, or positional mismatch could affect the mapped values.</w:t>
      </w:r>
    </w:p>
    <w:p>
      <w:r>
        <w:t>Confidence is moderate that Zone B is the correct inspection priority, but low that any specific cause has been identified.</w:t>
      </w:r>
    </w:p>
    <w:p>
      <w:pPr>
        <w:pStyle w:val="Heading2"/>
      </w:pPr>
      <w:r>
        <w:t>Targeted field-check plan</w:t>
      </w:r>
    </w:p>
    <w:tbl>
      <w:tblPr>
        <w:tblStyle w:val="TableGrid"/>
        <w:tblW w:type="auto" w:w="0"/>
        <w:tblLook w:firstColumn="1" w:firstRow="1" w:lastColumn="0" w:lastRow="0" w:noHBand="0" w:noVBand="1" w:val="04A0"/>
      </w:tblPr>
      <w:tblGrid>
        <w:gridCol w:w="3389"/>
        <w:gridCol w:w="3389"/>
        <w:gridCol w:w="3389"/>
      </w:tblGrid>
      <w:tr>
        <w:tc>
          <w:tcPr>
            <w:tcW w:type="dxa" w:w="3389"/>
            <w:shd w:fill="173F52"/>
            <w:vAlign w:val="center"/>
          </w:tcPr>
          <w:p>
            <w:pPr>
              <w:jc w:val="left"/>
            </w:pPr>
            <w:r>
              <w:rPr>
                <w:b/>
                <w:color w:val="FFFFFF"/>
              </w:rPr>
              <w:t>Where</w:t>
            </w:r>
          </w:p>
        </w:tc>
        <w:tc>
          <w:tcPr>
            <w:tcW w:type="dxa" w:w="3389"/>
            <w:shd w:fill="173F52"/>
            <w:vAlign w:val="center"/>
          </w:tcPr>
          <w:p>
            <w:pPr>
              <w:jc w:val="left"/>
            </w:pPr>
            <w:r>
              <w:rPr>
                <w:b/>
                <w:color w:val="FFFFFF"/>
              </w:rPr>
              <w:t>Measure or observe</w:t>
            </w:r>
          </w:p>
        </w:tc>
        <w:tc>
          <w:tcPr>
            <w:tcW w:type="dxa" w:w="3389"/>
            <w:shd w:fill="173F52"/>
            <w:vAlign w:val="center"/>
          </w:tcPr>
          <w:p>
            <w:pPr>
              <w:jc w:val="left"/>
            </w:pPr>
            <w:r>
              <w:rPr>
                <w:b/>
                <w:color w:val="FFFFFF"/>
              </w:rPr>
              <w:t>Purpose</w:t>
            </w:r>
          </w:p>
        </w:tc>
      </w:tr>
      <w:tr>
        <w:tc>
          <w:tcPr>
            <w:tcW w:type="dxa" w:w="3389"/>
          </w:tcPr>
          <w:p>
            <w:pPr>
              <w:spacing w:after="0"/>
            </w:pPr>
            <w:r/>
            <w:r>
              <w:rPr>
                <w:b w:val="0"/>
              </w:rPr>
              <w:t>S4-S6 and two additional Zone B transects</w:t>
            </w:r>
          </w:p>
        </w:tc>
        <w:tc>
          <w:tcPr>
            <w:tcW w:type="dxa" w:w="3389"/>
          </w:tcPr>
          <w:p>
            <w:pPr>
              <w:spacing w:after="0"/>
            </w:pPr>
            <w:r/>
            <w:r>
              <w:rPr>
                <w:b w:val="0"/>
              </w:rPr>
              <w:t>Species, percent cover, leaf discoloration, canopy height, soil exposure</w:t>
            </w:r>
          </w:p>
        </w:tc>
        <w:tc>
          <w:tcPr>
            <w:tcW w:type="dxa" w:w="3389"/>
          </w:tcPr>
          <w:p>
            <w:pPr>
              <w:spacing w:after="0"/>
            </w:pPr>
            <w:r/>
            <w:r>
              <w:rPr>
                <w:b w:val="0"/>
              </w:rPr>
              <w:t>Confirm whether the image pattern represents sparse or discolored vegetation.</w:t>
            </w:r>
          </w:p>
        </w:tc>
      </w:tr>
      <w:tr>
        <w:tc>
          <w:tcPr>
            <w:tcW w:type="dxa" w:w="3389"/>
          </w:tcPr>
          <w:p>
            <w:pPr>
              <w:spacing w:after="0"/>
            </w:pPr>
            <w:r/>
            <w:r>
              <w:rPr>
                <w:b w:val="0"/>
              </w:rPr>
              <w:t>Matched plots in A and D</w:t>
            </w:r>
          </w:p>
        </w:tc>
        <w:tc>
          <w:tcPr>
            <w:tcW w:type="dxa" w:w="3389"/>
          </w:tcPr>
          <w:p>
            <w:pPr>
              <w:spacing w:after="0"/>
            </w:pPr>
            <w:r/>
            <w:r>
              <w:rPr>
                <w:b w:val="0"/>
              </w:rPr>
              <w:t>Same vegetation and soil observations</w:t>
            </w:r>
          </w:p>
        </w:tc>
        <w:tc>
          <w:tcPr>
            <w:tcW w:type="dxa" w:w="3389"/>
          </w:tcPr>
          <w:p>
            <w:pPr>
              <w:spacing w:after="0"/>
            </w:pPr>
            <w:r/>
            <w:r>
              <w:rPr>
                <w:b w:val="0"/>
              </w:rPr>
              <w:t>Provide reference conditions for comparison.</w:t>
            </w:r>
          </w:p>
        </w:tc>
      </w:tr>
      <w:tr>
        <w:tc>
          <w:tcPr>
            <w:tcW w:type="dxa" w:w="3389"/>
          </w:tcPr>
          <w:p>
            <w:pPr>
              <w:spacing w:after="0"/>
            </w:pPr>
            <w:r/>
            <w:r>
              <w:rPr>
                <w:b w:val="0"/>
              </w:rPr>
              <w:t>All plots</w:t>
            </w:r>
          </w:p>
        </w:tc>
        <w:tc>
          <w:tcPr>
            <w:tcW w:type="dxa" w:w="3389"/>
          </w:tcPr>
          <w:p>
            <w:pPr>
              <w:spacing w:after="0"/>
            </w:pPr>
            <w:r/>
            <w:r>
              <w:rPr>
                <w:b w:val="0"/>
              </w:rPr>
              <w:t>Water depth, soil moisture, salinity/conductivity, recent disturbance</w:t>
            </w:r>
          </w:p>
        </w:tc>
        <w:tc>
          <w:tcPr>
            <w:tcW w:type="dxa" w:w="3389"/>
          </w:tcPr>
          <w:p>
            <w:pPr>
              <w:spacing w:after="0"/>
            </w:pPr>
            <w:r/>
            <w:r>
              <w:rPr>
                <w:b w:val="0"/>
              </w:rPr>
              <w:t>Test hydrologic and soil-related explanations.</w:t>
            </w:r>
          </w:p>
        </w:tc>
      </w:tr>
      <w:tr>
        <w:tc>
          <w:tcPr>
            <w:tcW w:type="dxa" w:w="3389"/>
          </w:tcPr>
          <w:p>
            <w:pPr>
              <w:spacing w:after="0"/>
            </w:pPr>
            <w:r/>
            <w:r>
              <w:rPr>
                <w:b w:val="0"/>
              </w:rPr>
              <w:t>Repeat flight</w:t>
            </w:r>
          </w:p>
        </w:tc>
        <w:tc>
          <w:tcPr>
            <w:tcW w:type="dxa" w:w="3389"/>
          </w:tcPr>
          <w:p>
            <w:pPr>
              <w:spacing w:after="0"/>
            </w:pPr>
            <w:r/>
            <w:r>
              <w:rPr>
                <w:b w:val="0"/>
              </w:rPr>
              <w:t>Same altitude, timing, calibration, and processing</w:t>
            </w:r>
          </w:p>
        </w:tc>
        <w:tc>
          <w:tcPr>
            <w:tcW w:type="dxa" w:w="3389"/>
          </w:tcPr>
          <w:p>
            <w:pPr>
              <w:spacing w:after="0"/>
            </w:pPr>
            <w:r/>
            <w:r>
              <w:rPr>
                <w:b w:val="0"/>
              </w:rPr>
              <w:t>Determine whether the pattern persists and reduce acquisition-related uncertainty.</w:t>
            </w:r>
          </w:p>
        </w:tc>
      </w:tr>
    </w:tbl>
    <w:p>
      <w:r>
        <w:br w:type="page"/>
      </w:r>
    </w:p>
    <w:p>
      <w:pPr>
        <w:spacing w:after="160"/>
      </w:pPr>
      <w:r>
        <w:rPr>
          <w:b/>
          <w:color w:val="19758A"/>
          <w:sz w:val="18"/>
        </w:rPr>
        <w:t>PART 4 · COMPLETED CAPSTONE MODEL, CONCLUSION</w:t>
      </w:r>
    </w:p>
    <w:p>
      <w:pPr>
        <w:pStyle w:val="Heading1"/>
      </w:pPr>
      <w:r>
        <w:t>Evidence-proportionate recommendation</w:t>
      </w:r>
    </w:p>
    <w:tbl>
      <w:tblPr>
        <w:tblW w:type="auto" w:w="0"/>
        <w:jc w:val="center"/>
        <w:tblLayout w:type="fixed"/>
        <w:tblLook w:firstColumn="1" w:firstRow="1" w:lastColumn="0" w:lastRow="0" w:noHBand="0" w:noVBand="1" w:val="04A0"/>
      </w:tblPr>
      <w:tblGrid>
        <w:gridCol w:w="10166"/>
      </w:tblGrid>
      <w:tr>
        <w:tc>
          <w:tcPr>
            <w:tcW w:type="dxa" w:w="9864"/>
            <w:shd w:fill="EEF3EF"/>
          </w:tcPr>
          <w:p>
            <w:pPr>
              <w:spacing w:after="60"/>
            </w:pPr>
            <w:r>
              <w:rPr>
                <w:b/>
                <w:color w:val="173F52"/>
              </w:rPr>
              <w:t>Recommended action</w:t>
            </w:r>
          </w:p>
          <w:p>
            <w:pPr>
              <w:spacing w:after="0"/>
            </w:pPr>
            <w:r>
              <w:t>Inspect Zone B first using stratified field plots and matched reference plots in Zones A and D. Repeat the imagery under comparable conditions. Do not prescribe treatment, drainage changes, or restoration until field measurements distinguish among hydrologic, biological, disturbance, and data-quality explanations.</w:t>
            </w:r>
          </w:p>
        </w:tc>
      </w:tr>
    </w:tbl>
    <w:p>
      <w:pPr>
        <w:pStyle w:val="Heading2"/>
      </w:pPr>
      <w:r>
        <w:t>Model conclusion</w:t>
      </w:r>
    </w:p>
    <w:p>
      <w:r>
        <w:t>Drone remote sensing efficiently narrows the area that requires closer inspection, but it does not replace ecological field measurements. In this case, the combined map and sample evidence identifies Zone B as an appropriate first priority. The responsible management decision is therefore to collect targeted ground evidence and repeat observations before acting on an unconfirmed diagnosis.</w:t>
      </w:r>
    </w:p>
    <w:p>
      <w:pPr>
        <w:pStyle w:val="Heading2"/>
      </w:pPr>
      <w:r>
        <w:t>Suggested figure and table set</w:t>
      </w:r>
    </w:p>
    <w:p>
      <w:pPr>
        <w:pStyle w:val="ListBullet"/>
      </w:pPr>
      <w:r>
        <w:t>Figure 1. Natural-color orthomosaic with Zones A-D and sample points S1-S12.</w:t>
      </w:r>
    </w:p>
    <w:p>
      <w:pPr>
        <w:pStyle w:val="ListBullet"/>
      </w:pPr>
      <w:r>
        <w:t>Figure 2. NDVI surface with the same boundaries, sample points, legend, north arrow, and scale.</w:t>
      </w:r>
    </w:p>
    <w:p>
      <w:pPr>
        <w:pStyle w:val="ListBullet"/>
      </w:pPr>
      <w:r>
        <w:t>Table 1. Sample-level Red, NIR, NDVI, water depth, and field observations.</w:t>
      </w:r>
    </w:p>
    <w:p>
      <w:pPr>
        <w:pStyle w:val="ListBullet"/>
      </w:pPr>
      <w:r>
        <w:t>Table 2. Zone comparison summarizing land cover, NDVI pattern, uncertainty, and next field check.</w:t>
      </w:r>
    </w:p>
    <w:p>
      <w:pPr>
        <w:pStyle w:val="Heading2"/>
      </w:pPr>
      <w:r>
        <w:t>Source and figure attribution</w:t>
      </w:r>
    </w:p>
    <w:p>
      <w:r>
        <w:t>Use: 'Marshview Wetland simulated instructional dataset and imagery, Michael S. Baird GIS Portfolio.' Students should also cite any external scientific sources used to explain NDVI, wetland ecology, or sampling methods.</w:t>
      </w:r>
    </w:p>
    <w:tbl>
      <w:tblPr>
        <w:tblW w:type="auto" w:w="0"/>
        <w:jc w:val="center"/>
        <w:tblLayout w:type="fixed"/>
        <w:tblLook w:firstColumn="1" w:firstRow="1" w:lastColumn="0" w:lastRow="0" w:noHBand="0" w:noVBand="1" w:val="04A0"/>
      </w:tblPr>
      <w:tblGrid>
        <w:gridCol w:w="10166"/>
      </w:tblGrid>
      <w:tr>
        <w:tc>
          <w:tcPr>
            <w:tcW w:type="dxa" w:w="9864"/>
            <w:shd w:fill="F7F0E4"/>
          </w:tcPr>
          <w:p>
            <w:pPr>
              <w:spacing w:after="60"/>
            </w:pPr>
            <w:r>
              <w:rPr>
                <w:b/>
                <w:color w:val="173F52"/>
              </w:rPr>
              <w:t>Scientific boundary</w:t>
            </w:r>
          </w:p>
          <w:p>
            <w:pPr>
              <w:spacing w:after="0"/>
            </w:pPr>
            <w:r>
              <w:t>A strong completed project identifies a priority for investigation. It does not claim that NDVI proves vegetation health, species identity, disease, nutrient deficiency, or a specific management cause.</w:t>
            </w:r>
          </w:p>
        </w:tc>
      </w:tr>
    </w:tbl>
    <w:p>
      <w:r>
        <w:br w:type="page"/>
      </w:r>
    </w:p>
    <w:p>
      <w:pPr>
        <w:spacing w:after="160"/>
      </w:pPr>
      <w:r>
        <w:rPr>
          <w:b/>
          <w:color w:val="19758A"/>
          <w:sz w:val="18"/>
        </w:rPr>
        <w:t>PART 5 · SCORING CROSSWALK</w:t>
      </w:r>
    </w:p>
    <w:p>
      <w:pPr>
        <w:pStyle w:val="Heading1"/>
      </w:pPr>
      <w:r>
        <w:t>How the model meets the capstone rubric</w:t>
      </w:r>
    </w:p>
    <w:tbl>
      <w:tblPr>
        <w:tblStyle w:val="TableGrid"/>
        <w:tblW w:type="auto" w:w="0"/>
        <w:tblLook w:firstColumn="1" w:firstRow="1" w:lastColumn="0" w:lastRow="0" w:noHBand="0" w:noVBand="1" w:val="04A0"/>
      </w:tblPr>
      <w:tblGrid>
        <w:gridCol w:w="3389"/>
        <w:gridCol w:w="3389"/>
        <w:gridCol w:w="3389"/>
      </w:tblGrid>
      <w:tr>
        <w:tc>
          <w:tcPr>
            <w:tcW w:type="dxa" w:w="3389"/>
            <w:shd w:fill="173F52"/>
            <w:vAlign w:val="center"/>
          </w:tcPr>
          <w:p>
            <w:pPr>
              <w:jc w:val="left"/>
            </w:pPr>
            <w:r>
              <w:rPr>
                <w:b/>
                <w:color w:val="FFFFFF"/>
              </w:rPr>
              <w:t>Rubric criterion</w:t>
            </w:r>
          </w:p>
        </w:tc>
        <w:tc>
          <w:tcPr>
            <w:tcW w:type="dxa" w:w="3389"/>
            <w:shd w:fill="173F52"/>
            <w:vAlign w:val="center"/>
          </w:tcPr>
          <w:p>
            <w:pPr>
              <w:jc w:val="left"/>
            </w:pPr>
            <w:r>
              <w:rPr>
                <w:b/>
                <w:color w:val="FFFFFF"/>
              </w:rPr>
              <w:t>Model evidence</w:t>
            </w:r>
          </w:p>
        </w:tc>
        <w:tc>
          <w:tcPr>
            <w:tcW w:type="dxa" w:w="3389"/>
            <w:shd w:fill="173F52"/>
            <w:vAlign w:val="center"/>
          </w:tcPr>
          <w:p>
            <w:pPr>
              <w:jc w:val="left"/>
            </w:pPr>
            <w:r>
              <w:rPr>
                <w:b/>
                <w:color w:val="FFFFFF"/>
              </w:rPr>
              <w:t>Full-credit look-for</w:t>
            </w:r>
          </w:p>
        </w:tc>
      </w:tr>
      <w:tr>
        <w:tc>
          <w:tcPr>
            <w:tcW w:type="dxa" w:w="3389"/>
          </w:tcPr>
          <w:p>
            <w:pPr>
              <w:spacing w:after="0"/>
            </w:pPr>
            <w:r/>
            <w:r>
              <w:rPr>
                <w:b w:val="0"/>
              </w:rPr>
              <w:t>Problem and question</w:t>
            </w:r>
          </w:p>
        </w:tc>
        <w:tc>
          <w:tcPr>
            <w:tcW w:type="dxa" w:w="3389"/>
          </w:tcPr>
          <w:p>
            <w:pPr>
              <w:spacing w:after="0"/>
            </w:pPr>
            <w:r/>
            <w:r>
              <w:rPr>
                <w:b w:val="0"/>
              </w:rPr>
              <w:t>Decision-focused question about anomaly and field verification</w:t>
            </w:r>
          </w:p>
        </w:tc>
        <w:tc>
          <w:tcPr>
            <w:tcW w:type="dxa" w:w="3389"/>
          </w:tcPr>
          <w:p>
            <w:pPr>
              <w:spacing w:after="0"/>
            </w:pPr>
            <w:r/>
            <w:r>
              <w:rPr>
                <w:b w:val="0"/>
              </w:rPr>
              <w:t>Specific, measurable, and tied to a management decision</w:t>
            </w:r>
          </w:p>
        </w:tc>
      </w:tr>
      <w:tr>
        <w:tc>
          <w:tcPr>
            <w:tcW w:type="dxa" w:w="3389"/>
          </w:tcPr>
          <w:p>
            <w:pPr>
              <w:spacing w:after="0"/>
            </w:pPr>
            <w:r/>
            <w:r>
              <w:rPr>
                <w:b w:val="0"/>
              </w:rPr>
              <w:t>Sensor/data logic</w:t>
            </w:r>
          </w:p>
        </w:tc>
        <w:tc>
          <w:tcPr>
            <w:tcW w:type="dxa" w:w="3389"/>
          </w:tcPr>
          <w:p>
            <w:pPr>
              <w:spacing w:after="0"/>
            </w:pPr>
            <w:r/>
            <w:r>
              <w:rPr>
                <w:b w:val="0"/>
              </w:rPr>
              <w:t>Explains RGB, multispectral bands, NDVI, and orthomosaics</w:t>
            </w:r>
          </w:p>
        </w:tc>
        <w:tc>
          <w:tcPr>
            <w:tcW w:type="dxa" w:w="3389"/>
          </w:tcPr>
          <w:p>
            <w:pPr>
              <w:spacing w:after="0"/>
            </w:pPr>
            <w:r/>
            <w:r>
              <w:rPr>
                <w:b w:val="0"/>
              </w:rPr>
              <w:t>Separates measurement, product, and inference</w:t>
            </w:r>
          </w:p>
        </w:tc>
      </w:tr>
      <w:tr>
        <w:tc>
          <w:tcPr>
            <w:tcW w:type="dxa" w:w="3389"/>
          </w:tcPr>
          <w:p>
            <w:pPr>
              <w:spacing w:after="0"/>
            </w:pPr>
            <w:r/>
            <w:r>
              <w:rPr>
                <w:b w:val="0"/>
              </w:rPr>
              <w:t>Data analysis</w:t>
            </w:r>
          </w:p>
        </w:tc>
        <w:tc>
          <w:tcPr>
            <w:tcW w:type="dxa" w:w="3389"/>
          </w:tcPr>
          <w:p>
            <w:pPr>
              <w:spacing w:after="0"/>
            </w:pPr>
            <w:r/>
            <w:r>
              <w:rPr>
                <w:b w:val="0"/>
              </w:rPr>
              <w:t>Integrates maps, sample values, and field notes</w:t>
            </w:r>
          </w:p>
        </w:tc>
        <w:tc>
          <w:tcPr>
            <w:tcW w:type="dxa" w:w="3389"/>
          </w:tcPr>
          <w:p>
            <w:pPr>
              <w:spacing w:after="0"/>
            </w:pPr>
            <w:r/>
            <w:r>
              <w:rPr>
                <w:b w:val="0"/>
              </w:rPr>
              <w:t>Uses relevant comparisons accurately</w:t>
            </w:r>
          </w:p>
        </w:tc>
      </w:tr>
      <w:tr>
        <w:tc>
          <w:tcPr>
            <w:tcW w:type="dxa" w:w="3389"/>
          </w:tcPr>
          <w:p>
            <w:pPr>
              <w:spacing w:after="0"/>
            </w:pPr>
            <w:r/>
            <w:r>
              <w:rPr>
                <w:b w:val="0"/>
              </w:rPr>
              <w:t>Environmental interpretation</w:t>
            </w:r>
          </w:p>
        </w:tc>
        <w:tc>
          <w:tcPr>
            <w:tcW w:type="dxa" w:w="3389"/>
          </w:tcPr>
          <w:p>
            <w:pPr>
              <w:spacing w:after="0"/>
            </w:pPr>
            <w:r/>
            <w:r>
              <w:rPr>
                <w:b w:val="0"/>
              </w:rPr>
              <w:t>Identifies Zone B while rejecting water as a stress ranking</w:t>
            </w:r>
          </w:p>
        </w:tc>
        <w:tc>
          <w:tcPr>
            <w:tcW w:type="dxa" w:w="3389"/>
          </w:tcPr>
          <w:p>
            <w:pPr>
              <w:spacing w:after="0"/>
            </w:pPr>
            <w:r/>
            <w:r>
              <w:rPr>
                <w:b w:val="0"/>
              </w:rPr>
              <w:t>Calibrated inference with alternatives</w:t>
            </w:r>
          </w:p>
        </w:tc>
      </w:tr>
      <w:tr>
        <w:tc>
          <w:tcPr>
            <w:tcW w:type="dxa" w:w="3389"/>
          </w:tcPr>
          <w:p>
            <w:pPr>
              <w:spacing w:after="0"/>
            </w:pPr>
            <w:r/>
            <w:r>
              <w:rPr>
                <w:b w:val="0"/>
              </w:rPr>
              <w:t>Quantitative support</w:t>
            </w:r>
          </w:p>
        </w:tc>
        <w:tc>
          <w:tcPr>
            <w:tcW w:type="dxa" w:w="3389"/>
          </w:tcPr>
          <w:p>
            <w:pPr>
              <w:spacing w:after="0"/>
            </w:pPr>
            <w:r/>
            <w:r>
              <w:rPr>
                <w:b w:val="0"/>
              </w:rPr>
              <w:t>Computes means, ranges, and contrasts</w:t>
            </w:r>
          </w:p>
        </w:tc>
        <w:tc>
          <w:tcPr>
            <w:tcW w:type="dxa" w:w="3389"/>
          </w:tcPr>
          <w:p>
            <w:pPr>
              <w:spacing w:after="0"/>
            </w:pPr>
            <w:r/>
            <w:r>
              <w:rPr>
                <w:b w:val="0"/>
              </w:rPr>
              <w:t>Accurate values with meaningful interpretation</w:t>
            </w:r>
          </w:p>
        </w:tc>
      </w:tr>
      <w:tr>
        <w:tc>
          <w:tcPr>
            <w:tcW w:type="dxa" w:w="3389"/>
          </w:tcPr>
          <w:p>
            <w:pPr>
              <w:spacing w:after="0"/>
            </w:pPr>
            <w:r/>
            <w:r>
              <w:rPr>
                <w:b w:val="0"/>
              </w:rPr>
              <w:t>Limitations/uncertainty</w:t>
            </w:r>
          </w:p>
        </w:tc>
        <w:tc>
          <w:tcPr>
            <w:tcW w:type="dxa" w:w="3389"/>
          </w:tcPr>
          <w:p>
            <w:pPr>
              <w:spacing w:after="0"/>
            </w:pPr>
            <w:r/>
            <w:r>
              <w:rPr>
                <w:b w:val="0"/>
              </w:rPr>
              <w:t>Names ecological and acquisition uncertainties</w:t>
            </w:r>
          </w:p>
        </w:tc>
        <w:tc>
          <w:tcPr>
            <w:tcW w:type="dxa" w:w="3389"/>
          </w:tcPr>
          <w:p>
            <w:pPr>
              <w:spacing w:after="0"/>
            </w:pPr>
            <w:r/>
            <w:r>
              <w:rPr>
                <w:b w:val="0"/>
              </w:rPr>
              <w:t>Links uncertainty to confidence and decisions</w:t>
            </w:r>
          </w:p>
        </w:tc>
      </w:tr>
      <w:tr>
        <w:tc>
          <w:tcPr>
            <w:tcW w:type="dxa" w:w="3389"/>
          </w:tcPr>
          <w:p>
            <w:pPr>
              <w:spacing w:after="0"/>
            </w:pPr>
            <w:r/>
            <w:r>
              <w:rPr>
                <w:b w:val="0"/>
              </w:rPr>
              <w:t>Additional data</w:t>
            </w:r>
          </w:p>
        </w:tc>
        <w:tc>
          <w:tcPr>
            <w:tcW w:type="dxa" w:w="3389"/>
          </w:tcPr>
          <w:p>
            <w:pPr>
              <w:spacing w:after="0"/>
            </w:pPr>
            <w:r/>
            <w:r>
              <w:rPr>
                <w:b w:val="0"/>
              </w:rPr>
              <w:t>Stratified plots, matched references, repeat imagery</w:t>
            </w:r>
          </w:p>
        </w:tc>
        <w:tc>
          <w:tcPr>
            <w:tcW w:type="dxa" w:w="3389"/>
          </w:tcPr>
          <w:p>
            <w:pPr>
              <w:spacing w:after="0"/>
            </w:pPr>
            <w:r/>
            <w:r>
              <w:rPr>
                <w:b w:val="0"/>
              </w:rPr>
              <w:t>Measurements discriminate among explanations</w:t>
            </w:r>
          </w:p>
        </w:tc>
      </w:tr>
      <w:tr>
        <w:tc>
          <w:tcPr>
            <w:tcW w:type="dxa" w:w="3389"/>
          </w:tcPr>
          <w:p>
            <w:pPr>
              <w:spacing w:after="0"/>
            </w:pPr>
            <w:r/>
            <w:r>
              <w:rPr>
                <w:b w:val="0"/>
              </w:rPr>
              <w:t>Recommendation</w:t>
            </w:r>
          </w:p>
        </w:tc>
        <w:tc>
          <w:tcPr>
            <w:tcW w:type="dxa" w:w="3389"/>
          </w:tcPr>
          <w:p>
            <w:pPr>
              <w:spacing w:after="0"/>
            </w:pPr>
            <w:r/>
            <w:r>
              <w:rPr>
                <w:b w:val="0"/>
              </w:rPr>
              <w:t>Inspect and verify before treatment</w:t>
            </w:r>
          </w:p>
        </w:tc>
        <w:tc>
          <w:tcPr>
            <w:tcW w:type="dxa" w:w="3389"/>
          </w:tcPr>
          <w:p>
            <w:pPr>
              <w:spacing w:after="0"/>
            </w:pPr>
            <w:r/>
            <w:r>
              <w:rPr>
                <w:b w:val="0"/>
              </w:rPr>
              <w:t>Feasible and proportional to evidence</w:t>
            </w:r>
          </w:p>
        </w:tc>
      </w:tr>
      <w:tr>
        <w:tc>
          <w:tcPr>
            <w:tcW w:type="dxa" w:w="3389"/>
          </w:tcPr>
          <w:p>
            <w:pPr>
              <w:spacing w:after="0"/>
            </w:pPr>
            <w:r/>
            <w:r>
              <w:rPr>
                <w:b w:val="0"/>
              </w:rPr>
              <w:t>Communication</w:t>
            </w:r>
          </w:p>
        </w:tc>
        <w:tc>
          <w:tcPr>
            <w:tcW w:type="dxa" w:w="3389"/>
          </w:tcPr>
          <w:p>
            <w:pPr>
              <w:spacing w:after="0"/>
            </w:pPr>
            <w:r/>
            <w:r>
              <w:rPr>
                <w:b w:val="0"/>
              </w:rPr>
              <w:t>Clear headings, figures, tables, units, attribution</w:t>
            </w:r>
          </w:p>
        </w:tc>
        <w:tc>
          <w:tcPr>
            <w:tcW w:type="dxa" w:w="3389"/>
          </w:tcPr>
          <w:p>
            <w:pPr>
              <w:spacing w:after="0"/>
            </w:pPr>
            <w:r/>
            <w:r>
              <w:rPr>
                <w:b w:val="0"/>
              </w:rPr>
              <w:t>Accessible, organized, and source-aware</w:t>
            </w:r>
          </w:p>
        </w:tc>
      </w:tr>
    </w:tbl>
    <w:p>
      <w:pPr>
        <w:pStyle w:val="Heading2"/>
      </w:pPr>
      <w:r>
        <w:t>Fast instructor checklist</w:t>
      </w:r>
    </w:p>
    <w:p>
      <w:pPr>
        <w:pStyle w:val="ListBullet"/>
      </w:pPr>
      <w:r>
        <w:t>☐ Zone B selected and compared with A and D</w:t>
      </w:r>
    </w:p>
    <w:p>
      <w:pPr>
        <w:pStyle w:val="ListBullet"/>
      </w:pPr>
      <w:r>
        <w:t>☐ Zone C correctly interpreted as open water</w:t>
      </w:r>
    </w:p>
    <w:p>
      <w:pPr>
        <w:pStyle w:val="ListBullet"/>
      </w:pPr>
      <w:r>
        <w:t>☐ At least one valid calculation or quantitative contrast</w:t>
      </w:r>
    </w:p>
    <w:p>
      <w:pPr>
        <w:pStyle w:val="ListBullet"/>
      </w:pPr>
      <w:r>
        <w:t>☐ Cause stated as uncertain rather than proven</w:t>
      </w:r>
    </w:p>
    <w:p>
      <w:pPr>
        <w:pStyle w:val="ListBullet"/>
      </w:pPr>
      <w:r>
        <w:t>☐ Specific field data proposed to test alternatives</w:t>
      </w:r>
    </w:p>
    <w:p>
      <w:pPr>
        <w:pStyle w:val="ListBullet"/>
      </w:pPr>
      <w:r>
        <w:t>☐ Recommendation limited to inspection, validation, and repeat observation</w:t>
      </w:r>
    </w:p>
    <w:p>
      <w:pPr>
        <w:pStyle w:val="ListBullet"/>
      </w:pPr>
      <w:r>
        <w:t>☐ Maps, tables, units, labels, and sources are clear</w:t>
      </w:r>
    </w:p>
    <w:tbl>
      <w:tblPr>
        <w:tblW w:type="auto" w:w="0"/>
        <w:jc w:val="center"/>
        <w:tblLayout w:type="fixed"/>
        <w:tblLook w:firstColumn="1" w:firstRow="1" w:lastColumn="0" w:lastRow="0" w:noHBand="0" w:noVBand="1" w:val="04A0"/>
      </w:tblPr>
      <w:tblGrid>
        <w:gridCol w:w="10166"/>
      </w:tblGrid>
      <w:tr>
        <w:tc>
          <w:tcPr>
            <w:tcW w:type="dxa" w:w="9864"/>
            <w:shd w:fill="EEF3EF"/>
          </w:tcPr>
          <w:p>
            <w:pPr>
              <w:spacing w:after="60"/>
            </w:pPr>
            <w:r>
              <w:rPr>
                <w:b/>
                <w:color w:val="173F52"/>
              </w:rPr>
              <w:t>Scoring note</w:t>
            </w:r>
          </w:p>
          <w:p>
            <w:pPr>
              <w:spacing w:after="0"/>
            </w:pPr>
            <w:r>
              <w:t>Accept scientifically equivalent answers when the evidence, reasoning, and uncertainty are sound. Reduce credit for unsupported causal claims even when the correct priority zone is selected.</w:t>
            </w:r>
          </w:p>
        </w:tc>
      </w:tr>
    </w:tbl>
    <w:sectPr w:rsidR="00FC693F" w:rsidRPr="0006063C" w:rsidSect="00034616">
      <w:footerReference w:type="default" r:id="rId9"/>
      <w:pgSz w:w="12240" w:h="15840"/>
      <w:pgMar w:top="936" w:right="1037" w:bottom="936" w:left="103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52626A"/>
        <w:sz w:val="16"/>
      </w:rPr>
      <w:t>INSTRUCTOR-ONLY RESOURCE  |  Marshview Wetland learning dataset</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9" w:lineRule="auto"/>
    </w:pPr>
    <w:rPr>
      <w:rFonts w:ascii="Aptos" w:hAnsi="Aptos"/>
      <w:color w:val="18252D"/>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100"/>
      <w:outlineLvl w:val="0"/>
    </w:pPr>
    <w:rPr>
      <w:rFonts w:asciiTheme="majorHAnsi" w:eastAsiaTheme="majorEastAsia" w:hAnsiTheme="majorHAnsi" w:cstheme="majorBidi" w:ascii="Aptos Display" w:hAnsi="Aptos Display"/>
      <w:b/>
      <w:bCs/>
      <w:color w:val="173F52"/>
      <w:sz w:val="42"/>
      <w:szCs w:val="28"/>
    </w:rPr>
  </w:style>
  <w:style w:type="paragraph" w:styleId="Heading2">
    <w:name w:val="heading 2"/>
    <w:basedOn w:val="Normal"/>
    <w:next w:val="Normal"/>
    <w:link w:val="Heading2Char"/>
    <w:uiPriority w:val="9"/>
    <w:unhideWhenUsed/>
    <w:qFormat/>
    <w:rsid w:val="00FC693F"/>
    <w:pPr>
      <w:keepNext/>
      <w:keepLines/>
      <w:spacing w:before="160" w:after="100"/>
      <w:outlineLvl w:val="1"/>
    </w:pPr>
    <w:rPr>
      <w:rFonts w:asciiTheme="majorHAnsi" w:eastAsiaTheme="majorEastAsia" w:hAnsiTheme="majorHAnsi" w:cstheme="majorBidi" w:ascii="Aptos Display" w:hAnsi="Aptos Display"/>
      <w:b/>
      <w:bCs/>
      <w:color w:val="19758A"/>
      <w:sz w:val="28"/>
      <w:szCs w:val="26"/>
    </w:rPr>
  </w:style>
  <w:style w:type="paragraph" w:styleId="Heading3">
    <w:name w:val="heading 3"/>
    <w:basedOn w:val="Normal"/>
    <w:next w:val="Normal"/>
    <w:link w:val="Heading3Char"/>
    <w:uiPriority w:val="9"/>
    <w:unhideWhenUsed/>
    <w:qFormat/>
    <w:rsid w:val="00FC693F"/>
    <w:pPr>
      <w:keepNext/>
      <w:keepLines/>
      <w:spacing w:before="160" w:after="100"/>
      <w:outlineLvl w:val="2"/>
    </w:pPr>
    <w:rPr>
      <w:rFonts w:asciiTheme="majorHAnsi" w:eastAsiaTheme="majorEastAsia" w:hAnsiTheme="majorHAnsi" w:cstheme="majorBidi" w:ascii="Aptos Display" w:hAnsi="Aptos Display"/>
      <w:b/>
      <w:bCs/>
      <w:color w:val="173F52"/>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100" w:line="240" w:lineRule="auto" w:before="160"/>
      <w:contextualSpacing/>
    </w:pPr>
    <w:rPr>
      <w:rFonts w:asciiTheme="majorHAnsi" w:eastAsiaTheme="majorEastAsia" w:hAnsiTheme="majorHAnsi" w:cstheme="majorBidi" w:ascii="Aptos Display" w:hAnsi="Aptos Display"/>
      <w:b/>
      <w:color w:val="173F52"/>
      <w:spacing w:val="5"/>
      <w:kern w:val="28"/>
      <w:sz w:val="6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before="160" w:after="100"/>
    </w:pPr>
    <w:rPr>
      <w:rFonts w:asciiTheme="majorHAnsi" w:eastAsiaTheme="majorEastAsia" w:hAnsiTheme="majorHAnsi" w:cstheme="majorBidi" w:ascii="Aptos Display" w:hAnsi="Aptos Display"/>
      <w:b/>
      <w:i/>
      <w:iCs/>
      <w:color w:val="19758A"/>
      <w:spacing w:val="15"/>
      <w:sz w:val="26"/>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 Id="rId1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Instructor Completed-Project Key - Introduction to Drone Remote Sensing</dc:title>
  <dc:subject>Marshview Wetland completed investigation and capstone model</dc:subject>
  <dc:creator>Michael S. Baird</dc:creator>
  <cp:keywords/>
  <dc:description>generated by python-docx</dc:description>
  <cp:lastModifiedBy/>
  <cp:revision>1</cp:revision>
  <dcterms:created xsi:type="dcterms:W3CDTF">2013-12-23T23:15:00Z</dcterms:created>
  <dcterms:modified xsi:type="dcterms:W3CDTF">2013-12-23T23:15:00Z</dcterms:modified>
  <cp:category/>
</cp:coreProperties>
</file>