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80"/>
        <w:jc w:val="center"/>
      </w:pPr>
      <w:r>
        <w:rPr>
          <w:b/>
          <w:color w:val="247B78"/>
          <w:sz w:val="20"/>
        </w:rPr>
        <w:t>EDUCATION PORTFOLIO IMPLEMENTATION</w:t>
      </w:r>
    </w:p>
    <w:p>
      <w:pPr>
        <w:pStyle w:val="Title"/>
        <w:jc w:val="center"/>
      </w:pPr>
      <w:r>
        <w:t>Introduction to Drone Remote Sensing for Environmental Science</w:t>
      </w:r>
    </w:p>
    <w:p>
      <w:pPr>
        <w:pStyle w:val="Subtitle"/>
        <w:jc w:val="center"/>
      </w:pPr>
      <w:r>
        <w:t>Landing-Page Copy, Download Structure, and 'Try the Investigation' Concept</w:t>
      </w:r>
    </w:p>
    <w:tbl>
      <w:tblPr>
        <w:tblW w:type="dxa" w:w="9360"/>
        <w:jc w:val="center"/>
        <w:tblLook w:firstColumn="1" w:firstRow="1" w:lastColumn="0" w:lastRow="0" w:noHBand="0" w:noVBand="1" w:val="04A0"/>
        <w:tblLayout w:type="fixed"/>
        <w:tblInd w:w="120" w:type="dxa"/>
        <w:tblBorders>
          <w:top w:val="single" w:sz="5" w:color="D7E4E1"/>
          <w:left w:val="single" w:sz="5" w:color="D7E4E1"/>
          <w:bottom w:val="single" w:sz="5" w:color="D7E4E1"/>
          <w:right w:val="single" w:sz="5" w:color="D7E4E1"/>
          <w:insideH w:val="single" w:sz="5" w:color="D7E4E1"/>
          <w:insideV w:val="single" w:sz="5" w:color="D7E4E1"/>
        </w:tblBorders>
      </w:tblPr>
      <w:tblGrid>
        <w:gridCol w:w="3096"/>
        <w:gridCol w:w="3096"/>
        <w:gridCol w:w="3168"/>
      </w:tblGrid>
      <w:tr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AUDIENCE</w:t>
              <w:br/>
            </w:r>
            <w:r>
              <w:rPr>
                <w:sz w:val="19"/>
              </w:rPr>
              <w:t>Hiring reviewers, instructors, and prospective collaborators</w:t>
            </w:r>
          </w:p>
        </w:tc>
        <w:tc>
          <w:tcPr>
            <w:tcW w:type="dxa" w:w="309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LENGTH</w:t>
              <w:br/>
            </w:r>
            <w:r>
              <w:rPr>
                <w:sz w:val="19"/>
              </w:rPr>
              <w:t>10 instructional days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pPr>
              <w:jc w:val="center"/>
            </w:pPr>
            <w:r>
              <w:rPr>
                <w:b/>
                <w:color w:val="247B78"/>
                <w:sz w:val="16"/>
              </w:rPr>
              <w:t>RESOURCE</w:t>
              <w:br/>
            </w:r>
            <w:r>
              <w:rPr>
                <w:sz w:val="19"/>
              </w:rPr>
              <w:t>Portfolio presentation - draft only</w:t>
            </w:r>
          </w:p>
        </w:tc>
      </w:tr>
    </w:tbl>
    <w:p/>
    <w:p>
      <w:pPr>
        <w:jc w:val="center"/>
      </w:pPr>
      <w:r>
        <w:rPr>
          <w:i/>
          <w:color w:val="17324D"/>
          <w:sz w:val="22"/>
        </w:rPr>
        <w:t>Driving question: How can drone-based remote sensing help environmental scientists observe, measure, and manage environmental change?</w:t>
      </w:r>
    </w:p>
    <w:p>
      <w:r>
        <w:br w:type="page"/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BF5E8"/>
          </w:tcPr>
          <w:p>
            <w:r>
              <w:rPr>
                <w:b/>
                <w:color w:val="247B78"/>
              </w:rPr>
              <w:t xml:space="preserve">Publication boundary  </w:t>
            </w:r>
            <w:r>
              <w:t>This package supplies structure and copy only. It does not modify or publish the portfolio.</w:t>
            </w:r>
          </w:p>
        </w:tc>
      </w:tr>
    </w:tbl>
    <w:p>
      <w:pPr>
        <w:spacing w:after="0"/>
      </w:pPr>
    </w:p>
    <w:p>
      <w:pPr>
        <w:pStyle w:val="Heading1"/>
      </w:pPr>
      <w:r>
        <w:t>Education landing-page structure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1872"/>
        <w:gridCol w:w="2376"/>
        <w:gridCol w:w="5112"/>
      </w:tblGrid>
      <w:tr>
        <w:trPr>
          <w:tblHeader w:val="true"/>
        </w:trP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Section</w:t>
            </w:r>
          </w:p>
        </w:tc>
        <w:tc>
          <w:tcPr>
            <w:tcW w:type="dxa" w:w="237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Purpose</w:t>
            </w:r>
          </w:p>
        </w:tc>
        <w:tc>
          <w:tcPr>
            <w:tcW w:type="dxa" w:w="511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Recommended content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>
              <w:rPr>
                <w:sz w:val="16"/>
              </w:rPr>
              <w:t>Hero / overview</w:t>
            </w:r>
          </w:p>
        </w:tc>
        <w:tc>
          <w:tcPr>
            <w:tcW w:type="dxa" w:w="2376"/>
          </w:tcPr>
          <w:p>
            <w:pPr>
              <w:jc w:val="left"/>
            </w:pPr>
            <w:r>
              <w:rPr>
                <w:sz w:val="16"/>
              </w:rPr>
              <w:t>Establish value in seconds</w:t>
            </w:r>
          </w:p>
        </w:tc>
        <w:tc>
          <w:tcPr>
            <w:tcW w:type="dxa" w:w="5112"/>
          </w:tcPr>
          <w:p>
            <w:pPr>
              <w:jc w:val="left"/>
            </w:pPr>
            <w:r>
              <w:rPr>
                <w:sz w:val="16"/>
              </w:rPr>
              <w:t>Title, two-sentence summary, audience, duration, View Materials and Try the Investigation actions</w:t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left"/>
            </w:pPr>
            <w:r>
              <w:rPr>
                <w:sz w:val="16"/>
              </w:rPr>
              <w:t>Why this unit</w:t>
            </w:r>
          </w:p>
        </w:tc>
        <w:tc>
          <w:tcPr>
            <w:tcW w:type="dxa" w:w="2376"/>
            <w:shd w:fill="F8FAFA"/>
          </w:tcPr>
          <w:p>
            <w:pPr>
              <w:jc w:val="left"/>
            </w:pPr>
            <w:r>
              <w:rPr>
                <w:sz w:val="16"/>
              </w:rPr>
              <w:t>Show instructional-design judgment</w:t>
            </w:r>
          </w:p>
        </w:tc>
        <w:tc>
          <w:tcPr>
            <w:tcW w:type="dxa" w:w="5112"/>
            <w:shd w:fill="F8FAFA"/>
          </w:tcPr>
          <w:p>
            <w:pPr>
              <w:jc w:val="left"/>
            </w:pPr>
            <w:r>
              <w:rPr>
                <w:sz w:val="16"/>
              </w:rPr>
              <w:t>Remote sensing as environmental measurement; no drone flight required; inquiry and evidence focus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>
              <w:rPr>
                <w:sz w:val="16"/>
              </w:rPr>
              <w:t>What students learn</w:t>
            </w:r>
          </w:p>
        </w:tc>
        <w:tc>
          <w:tcPr>
            <w:tcW w:type="dxa" w:w="2376"/>
          </w:tcPr>
          <w:p>
            <w:pPr>
              <w:jc w:val="left"/>
            </w:pPr>
            <w:r>
              <w:rPr>
                <w:sz w:val="16"/>
              </w:rPr>
              <w:t>Make outcomes scannable</w:t>
            </w:r>
          </w:p>
        </w:tc>
        <w:tc>
          <w:tcPr>
            <w:tcW w:type="dxa" w:w="5112"/>
          </w:tcPr>
          <w:p>
            <w:pPr>
              <w:jc w:val="left"/>
            </w:pPr>
            <w:r>
              <w:rPr>
                <w:sz w:val="16"/>
              </w:rPr>
              <w:t>Sensors, resolution, NDVI, photogrammetry, uncertainty, responsible decisions</w:t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left"/>
            </w:pPr>
            <w:r>
              <w:rPr>
                <w:sz w:val="16"/>
              </w:rPr>
              <w:t>10-day pathway</w:t>
            </w:r>
          </w:p>
        </w:tc>
        <w:tc>
          <w:tcPr>
            <w:tcW w:type="dxa" w:w="2376"/>
            <w:shd w:fill="F8FAFA"/>
          </w:tcPr>
          <w:p>
            <w:pPr>
              <w:jc w:val="left"/>
            </w:pPr>
            <w:r>
              <w:rPr>
                <w:sz w:val="16"/>
              </w:rPr>
              <w:t>Show coherent sequencing</w:t>
            </w:r>
          </w:p>
        </w:tc>
        <w:tc>
          <w:tcPr>
            <w:tcW w:type="dxa" w:w="5112"/>
            <w:shd w:fill="F8FAFA"/>
          </w:tcPr>
          <w:p>
            <w:pPr>
              <w:jc w:val="left"/>
            </w:pPr>
            <w:r>
              <w:rPr>
                <w:sz w:val="16"/>
              </w:rPr>
              <w:t>Compact timeline from image interpretation to scientific briefing</w:t>
            </w:r>
          </w:p>
        </w:tc>
      </w:tr>
      <w:tr>
        <w:tc>
          <w:tcPr>
            <w:tcW w:type="dxa" w:w="1872"/>
          </w:tcPr>
          <w:p>
            <w:pPr>
              <w:jc w:val="left"/>
            </w:pPr>
            <w:r>
              <w:rPr>
                <w:sz w:val="16"/>
              </w:rPr>
              <w:t>Try the Investigation</w:t>
            </w:r>
          </w:p>
        </w:tc>
        <w:tc>
          <w:tcPr>
            <w:tcW w:type="dxa" w:w="2376"/>
          </w:tcPr>
          <w:p>
            <w:pPr>
              <w:jc w:val="left"/>
            </w:pPr>
            <w:r>
              <w:rPr>
                <w:sz w:val="16"/>
              </w:rPr>
              <w:t>Demonstrate learning experience</w:t>
            </w:r>
          </w:p>
        </w:tc>
        <w:tc>
          <w:tcPr>
            <w:tcW w:type="dxa" w:w="5112"/>
          </w:tcPr>
          <w:p>
            <w:pPr>
              <w:jc w:val="left"/>
            </w:pPr>
            <w:r>
              <w:rPr>
                <w:sz w:val="16"/>
              </w:rPr>
              <w:t>Layer/view toggles, sample table, prompt, response scaffold, revealable reasoning</w:t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left"/>
            </w:pPr>
            <w:r>
              <w:rPr>
                <w:sz w:val="16"/>
              </w:rPr>
              <w:t>Assessment design</w:t>
            </w:r>
          </w:p>
        </w:tc>
        <w:tc>
          <w:tcPr>
            <w:tcW w:type="dxa" w:w="2376"/>
            <w:shd w:fill="F8FAFA"/>
          </w:tcPr>
          <w:p>
            <w:pPr>
              <w:jc w:val="left"/>
            </w:pPr>
            <w:r>
              <w:rPr>
                <w:sz w:val="16"/>
              </w:rPr>
              <w:t>Show rigor and inclusion</w:t>
            </w:r>
          </w:p>
        </w:tc>
        <w:tc>
          <w:tcPr>
            <w:tcW w:type="dxa" w:w="5112"/>
            <w:shd w:fill="F8FAFA"/>
          </w:tcPr>
          <w:p>
            <w:pPr>
              <w:jc w:val="left"/>
            </w:pPr>
            <w:r>
              <w:rPr>
                <w:sz w:val="16"/>
              </w:rPr>
              <w:t>Formative checks, capstone, individual assessment, analytic rubric</w:t>
            </w:r>
          </w:p>
        </w:tc>
      </w:tr>
      <w:tr>
        <w:tc>
          <w:tcPr>
            <w:tcW w:type="dxa" w:w="1872"/>
          </w:tcPr>
          <w:p>
            <w:pPr>
              <w:jc w:val="center"/>
            </w:pPr>
            <w:r>
              <w:rPr>
                <w:sz w:val="16"/>
              </w:rPr>
              <w:t>Downloads</w:t>
            </w:r>
          </w:p>
        </w:tc>
        <w:tc>
          <w:tcPr>
            <w:tcW w:type="dxa" w:w="2376"/>
          </w:tcPr>
          <w:p>
            <w:pPr>
              <w:jc w:val="left"/>
            </w:pPr>
            <w:r>
              <w:rPr>
                <w:sz w:val="16"/>
              </w:rPr>
              <w:t>Give practical access</w:t>
            </w:r>
          </w:p>
        </w:tc>
        <w:tc>
          <w:tcPr>
            <w:tcW w:type="dxa" w:w="5112"/>
          </w:tcPr>
          <w:p>
            <w:pPr>
              <w:jc w:val="left"/>
            </w:pPr>
            <w:r>
              <w:rPr>
                <w:sz w:val="16"/>
              </w:rPr>
              <w:t>Instructor Guide, Student Workbook, Assessment/Key, simulated data, two map images</w:t>
            </w:r>
          </w:p>
        </w:tc>
      </w:tr>
      <w:tr>
        <w:tc>
          <w:tcPr>
            <w:tcW w:type="dxa" w:w="1872"/>
            <w:shd w:fill="F8FAFA"/>
          </w:tcPr>
          <w:p>
            <w:pPr>
              <w:jc w:val="center"/>
            </w:pPr>
            <w:r>
              <w:rPr>
                <w:sz w:val="16"/>
              </w:rPr>
              <w:t>Design notes</w:t>
            </w:r>
          </w:p>
        </w:tc>
        <w:tc>
          <w:tcPr>
            <w:tcW w:type="dxa" w:w="2376"/>
            <w:shd w:fill="F8FAFA"/>
          </w:tcPr>
          <w:p>
            <w:pPr>
              <w:jc w:val="left"/>
            </w:pPr>
            <w:r>
              <w:rPr>
                <w:sz w:val="16"/>
              </w:rPr>
              <w:t>Show professional reflection</w:t>
            </w:r>
          </w:p>
        </w:tc>
        <w:tc>
          <w:tcPr>
            <w:tcW w:type="dxa" w:w="5112"/>
            <w:shd w:fill="F8FAFA"/>
          </w:tcPr>
          <w:p>
            <w:pPr>
              <w:jc w:val="left"/>
            </w:pPr>
            <w:r>
              <w:rPr>
                <w:sz w:val="16"/>
              </w:rPr>
              <w:t>Audience, accessibility, adaptation, evidence limits, source currency</w:t>
            </w:r>
          </w:p>
        </w:tc>
      </w:tr>
    </w:tbl>
    <w:p>
      <w:pPr>
        <w:spacing w:after="0"/>
      </w:pPr>
    </w:p>
    <w:p>
      <w:pPr>
        <w:pStyle w:val="Heading1"/>
      </w:pPr>
      <w:r>
        <w:t>Portfolio card copy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Card title  </w:t>
            </w:r>
            <w:r>
              <w:t>Introduction to Drone Remote Sensing</w:t>
            </w:r>
          </w:p>
        </w:tc>
      </w:tr>
    </w:tbl>
    <w:p>
      <w:pPr>
        <w:spacing w:after="0"/>
      </w:pPr>
    </w:p>
    <w:p>
      <w:r>
        <w:t>A 10-day inquiry-based environmental science unit in which students interpret aerial and multispectral evidence, calculate NDVI, evaluate uncertainty, and deliver an evidence-based wetland management briefing. Designed for AP Environmental Science and introductory undergraduate learners; no drone operation is required.</w:t>
      </w:r>
    </w:p>
    <w:p>
      <w:r>
        <w:t>Suggested tags: Instructional Design | Environmental Science | GIS | Remote Sensing | Assessment</w:t>
      </w:r>
    </w:p>
    <w:p>
      <w:pPr>
        <w:pStyle w:val="Heading1"/>
      </w:pPr>
      <w:r>
        <w:t>Project-page hero copy</w:t>
      </w:r>
    </w:p>
    <w:p>
      <w:pPr>
        <w:pStyle w:val="Heading2"/>
      </w:pPr>
      <w:r>
        <w:t>Introduction to Drone Remote Sensing for Environmental Science</w:t>
      </w:r>
    </w:p>
    <w:p>
      <w:r>
        <w:t>A portfolio-ready, 10-day learning unit that moves students from noticing patterns in aerial imagery to defending a calibrated environmental recommendation with spatial and quantitative evidence.</w:t>
      </w:r>
    </w:p>
    <w:p>
      <w:pPr>
        <w:pStyle w:val="ListBullet"/>
      </w:pPr>
      <w:r>
        <w:t>Audience: AP Environmental Science and introductory undergraduate environmental science</w:t>
      </w:r>
    </w:p>
    <w:p>
      <w:pPr>
        <w:pStyle w:val="ListBullet"/>
      </w:pPr>
      <w:r>
        <w:t>Format: 10 class meetings, approximately 50-75 minutes each</w:t>
      </w:r>
    </w:p>
    <w:p>
      <w:pPr>
        <w:pStyle w:val="ListBullet"/>
      </w:pPr>
      <w:r>
        <w:t>Culminating experience: Marshview Wetland remote-sensing assessment</w:t>
      </w:r>
    </w:p>
    <w:p>
      <w:pPr>
        <w:pStyle w:val="ListBullet"/>
      </w:pPr>
      <w:r>
        <w:t>Technology boundary: fully teachable without operating a drone</w:t>
      </w:r>
    </w:p>
    <w:p>
      <w:pPr>
        <w:pStyle w:val="Heading1"/>
      </w:pPr>
      <w:r>
        <w:t>Suggested 10-day timeline copy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936"/>
        <w:gridCol w:w="8424"/>
      </w:tblGrid>
      <w:tr>
        <w:trPr>
          <w:tblHeader w:val="true"/>
        </w:trPr>
        <w:tc>
          <w:tcPr>
            <w:tcW w:type="dxa" w:w="93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Day</w:t>
            </w:r>
          </w:p>
        </w:tc>
        <w:tc>
          <w:tcPr>
            <w:tcW w:type="dxa" w:w="842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Student experience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8424"/>
          </w:tcPr>
          <w:p>
            <w:pPr>
              <w:jc w:val="left"/>
            </w:pPr>
            <w:r>
              <w:rPr>
                <w:sz w:val="18"/>
              </w:rPr>
              <w:t>Seeing the Environment from Above</w:t>
            </w:r>
          </w:p>
        </w:tc>
      </w:tr>
      <w:tr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8424"/>
            <w:shd w:fill="F8FAFA"/>
          </w:tcPr>
          <w:p>
            <w:pPr>
              <w:jc w:val="left"/>
            </w:pPr>
            <w:r>
              <w:rPr>
                <w:sz w:val="18"/>
              </w:rPr>
              <w:t>A Drone as a Scientific Measurement System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8424"/>
          </w:tcPr>
          <w:p>
            <w:pPr>
              <w:jc w:val="left"/>
            </w:pPr>
            <w:r>
              <w:rPr>
                <w:sz w:val="18"/>
              </w:rPr>
              <w:t>Sensors and the Electromagnetic Spectrum</w:t>
            </w:r>
          </w:p>
        </w:tc>
      </w:tr>
      <w:tr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8424"/>
            <w:shd w:fill="F8FAFA"/>
          </w:tcPr>
          <w:p>
            <w:pPr>
              <w:jc w:val="left"/>
            </w:pPr>
            <w:r>
              <w:rPr>
                <w:sz w:val="18"/>
              </w:rPr>
              <w:t>Resolution and Scale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8424"/>
          </w:tcPr>
          <w:p>
            <w:pPr>
              <w:jc w:val="left"/>
            </w:pPr>
            <w:r>
              <w:rPr>
                <w:sz w:val="18"/>
              </w:rPr>
              <w:t>Multispectral Data and NDVI</w:t>
            </w:r>
          </w:p>
        </w:tc>
      </w:tr>
      <w:tr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8424"/>
            <w:shd w:fill="F8FAFA"/>
          </w:tcPr>
          <w:p>
            <w:pPr>
              <w:jc w:val="left"/>
            </w:pPr>
            <w:r>
              <w:rPr>
                <w:sz w:val="18"/>
              </w:rPr>
              <w:t>From Photographs to Maps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8424"/>
          </w:tcPr>
          <w:p>
            <w:pPr>
              <w:jc w:val="left"/>
            </w:pPr>
            <w:r>
              <w:rPr>
                <w:sz w:val="18"/>
              </w:rPr>
              <w:t>Environmental Applications Case-Study Stations</w:t>
            </w:r>
          </w:p>
        </w:tc>
      </w:tr>
      <w:tr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8424"/>
            <w:shd w:fill="F8FAFA"/>
          </w:tcPr>
          <w:p>
            <w:pPr>
              <w:jc w:val="left"/>
            </w:pPr>
            <w:r>
              <w:rPr>
                <w:sz w:val="18"/>
              </w:rPr>
              <w:t>Accuracy, Ethics, Safety, and Regulation</w:t>
            </w:r>
          </w:p>
        </w:tc>
      </w:tr>
      <w:tr>
        <w:tc>
          <w:tcPr>
            <w:tcW w:type="dxa" w:w="936"/>
          </w:tcPr>
          <w:p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8424"/>
          </w:tcPr>
          <w:p>
            <w:pPr>
              <w:jc w:val="left"/>
            </w:pPr>
            <w:r>
              <w:rPr>
                <w:sz w:val="18"/>
              </w:rPr>
              <w:t>Capstone Investigation: Analyze the Evidence</w:t>
            </w:r>
          </w:p>
        </w:tc>
      </w:tr>
      <w:tr>
        <w:tc>
          <w:tcPr>
            <w:tcW w:type="dxa" w:w="936"/>
            <w:shd w:fill="F8FAFA"/>
          </w:tcPr>
          <w:p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8424"/>
            <w:shd w:fill="F8FAFA"/>
          </w:tcPr>
          <w:p>
            <w:pPr>
              <w:jc w:val="left"/>
            </w:pPr>
            <w:r>
              <w:rPr>
                <w:sz w:val="18"/>
              </w:rPr>
              <w:t>Scientific Briefing and Individual Assessment</w:t>
            </w:r>
          </w:p>
        </w:tc>
      </w:tr>
    </w:tbl>
    <w:p>
      <w:pPr>
        <w:spacing w:after="0"/>
      </w:pPr>
    </w:p>
    <w:p>
      <w:pPr>
        <w:pStyle w:val="Heading1"/>
      </w:pPr>
      <w:r>
        <w:t>Download library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2232"/>
        <w:gridCol w:w="3960"/>
        <w:gridCol w:w="3168"/>
      </w:tblGrid>
      <w:tr>
        <w:trPr>
          <w:tblHeader w:val="true"/>
        </w:trPr>
        <w:tc>
          <w:tcPr>
            <w:tcW w:type="dxa" w:w="223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Visitor-facing label</w:t>
            </w:r>
          </w:p>
        </w:tc>
        <w:tc>
          <w:tcPr>
            <w:tcW w:type="dxa" w:w="3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File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Access note</w:t>
            </w:r>
          </w:p>
        </w:tc>
      </w:tr>
      <w:tr>
        <w:tc>
          <w:tcPr>
            <w:tcW w:type="dxa" w:w="2232"/>
          </w:tcPr>
          <w:p>
            <w:pPr>
              <w:jc w:val="left"/>
            </w:pPr>
            <w:r>
              <w:rPr>
                <w:sz w:val="16"/>
              </w:rPr>
              <w:t>Instructor Guide</w:t>
            </w:r>
          </w:p>
        </w:tc>
        <w:tc>
          <w:tcPr>
            <w:tcW w:type="dxa" w:w="3960"/>
          </w:tcPr>
          <w:p>
            <w:pPr>
              <w:jc w:val="left"/>
            </w:pPr>
            <w:r>
              <w:rPr>
                <w:sz w:val="16"/>
              </w:rPr>
              <w:t>01_instructor_guide_drone_remote_sensing.docx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Planning, pacing, standards, facilitation, differentiation</w:t>
            </w:r>
          </w:p>
        </w:tc>
      </w:tr>
      <w:tr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6"/>
              </w:rPr>
              <w:t>Student Workbook</w:t>
            </w:r>
          </w:p>
        </w:tc>
        <w:tc>
          <w:tcPr>
            <w:tcW w:type="dxa" w:w="3960"/>
            <w:shd w:fill="F8FAFA"/>
          </w:tcPr>
          <w:p>
            <w:pPr>
              <w:jc w:val="left"/>
            </w:pPr>
            <w:r>
              <w:rPr>
                <w:sz w:val="16"/>
              </w:rPr>
              <w:t>02_student_workbook_drone_remote_sensing.docx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Activities, references, capstone maps, response spaces</w:t>
            </w:r>
          </w:p>
        </w:tc>
      </w:tr>
      <w:tr>
        <w:tc>
          <w:tcPr>
            <w:tcW w:type="dxa" w:w="2232"/>
          </w:tcPr>
          <w:p>
            <w:pPr>
              <w:jc w:val="left"/>
            </w:pPr>
            <w:r>
              <w:rPr>
                <w:sz w:val="16"/>
              </w:rPr>
              <w:t>Assessment + Answer Key</w:t>
            </w:r>
          </w:p>
        </w:tc>
        <w:tc>
          <w:tcPr>
            <w:tcW w:type="dxa" w:w="3960"/>
          </w:tcPr>
          <w:p>
            <w:pPr>
              <w:jc w:val="left"/>
            </w:pPr>
            <w:r>
              <w:rPr>
                <w:sz w:val="16"/>
              </w:rPr>
              <w:t>03_assessment_answer_key_and_rubric.docx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Label Instructor Resource; avoid placing beside student-only links without a note</w:t>
            </w:r>
          </w:p>
        </w:tc>
      </w:tr>
      <w:tr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6"/>
              </w:rPr>
              <w:t>Portfolio Presentation Kit</w:t>
            </w:r>
          </w:p>
        </w:tc>
        <w:tc>
          <w:tcPr>
            <w:tcW w:type="dxa" w:w="3960"/>
            <w:shd w:fill="F8FAFA"/>
          </w:tcPr>
          <w:p>
            <w:pPr>
              <w:jc w:val="left"/>
            </w:pPr>
            <w:r>
              <w:rPr>
                <w:sz w:val="16"/>
              </w:rPr>
              <w:t>04_portfolio_landing_page_and_interactive_concept.docx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Page copy and implementation concept</w:t>
            </w:r>
          </w:p>
        </w:tc>
      </w:tr>
      <w:tr>
        <w:tc>
          <w:tcPr>
            <w:tcW w:type="dxa" w:w="2232"/>
          </w:tcPr>
          <w:p>
            <w:pPr>
              <w:jc w:val="center"/>
            </w:pPr>
            <w:r>
              <w:rPr>
                <w:sz w:val="16"/>
              </w:rPr>
              <w:t>Sample data</w:t>
            </w:r>
          </w:p>
        </w:tc>
        <w:tc>
          <w:tcPr>
            <w:tcW w:type="dxa" w:w="3960"/>
          </w:tcPr>
          <w:p>
            <w:pPr>
              <w:jc w:val="left"/>
            </w:pPr>
            <w:r>
              <w:rPr>
                <w:sz w:val="16"/>
              </w:rPr>
              <w:t>simulated_wetland_sample_data.csv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Clearly label simulated instructional data</w:t>
            </w:r>
          </w:p>
        </w:tc>
      </w:tr>
      <w:tr>
        <w:tc>
          <w:tcPr>
            <w:tcW w:type="dxa" w:w="2232"/>
            <w:shd w:fill="F8FAFA"/>
          </w:tcPr>
          <w:p>
            <w:pPr>
              <w:jc w:val="left"/>
            </w:pPr>
            <w:r>
              <w:rPr>
                <w:sz w:val="16"/>
              </w:rPr>
              <w:t>Natural-color orthomosaic</w:t>
            </w:r>
          </w:p>
        </w:tc>
        <w:tc>
          <w:tcPr>
            <w:tcW w:type="dxa" w:w="3960"/>
            <w:shd w:fill="F8FAFA"/>
          </w:tcPr>
          <w:p>
            <w:pPr>
              <w:jc w:val="left"/>
            </w:pPr>
            <w:r>
              <w:rPr>
                <w:sz w:val="16"/>
              </w:rPr>
              <w:t>simulated_wetland_rgb_map.png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Alt text supplied below</w:t>
            </w:r>
          </w:p>
        </w:tc>
      </w:tr>
      <w:tr>
        <w:tc>
          <w:tcPr>
            <w:tcW w:type="dxa" w:w="2232"/>
          </w:tcPr>
          <w:p>
            <w:pPr>
              <w:jc w:val="center"/>
            </w:pPr>
            <w:r>
              <w:rPr>
                <w:sz w:val="16"/>
              </w:rPr>
              <w:t>NDVI map</w:t>
            </w:r>
          </w:p>
        </w:tc>
        <w:tc>
          <w:tcPr>
            <w:tcW w:type="dxa" w:w="3960"/>
          </w:tcPr>
          <w:p>
            <w:pPr>
              <w:jc w:val="left"/>
            </w:pPr>
            <w:r>
              <w:rPr>
                <w:sz w:val="16"/>
              </w:rPr>
              <w:t>simulated_wetland_ndvi_map.png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Use a labeled legend and text alternative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'Try the Investigation' interactive concept</w:t>
      </w:r>
    </w:p>
    <w:tbl>
      <w:tblPr>
        <w:tblW w:type="dxa" w:w="9360"/>
        <w:tblLook w:firstColumn="1" w:firstRow="1" w:lastColumn="0" w:lastRow="0" w:noHBand="0" w:noVBand="1" w:val="04A0"/>
        <w:tblLayout w:type="fixed"/>
        <w:tblInd w:w="120" w:type="dxa"/>
        <w:tblBorders>
          <w:top w:val="single" w:sz="6" w:color="BFD7D2"/>
          <w:left w:val="single" w:sz="6" w:color="BFD7D2"/>
          <w:bottom w:val="single" w:sz="6" w:color="BFD7D2"/>
          <w:right w:val="single" w:sz="6" w:color="BFD7D2"/>
          <w:insideH w:val="single" w:sz="6" w:color="BFD7D2"/>
          <w:insideV w:val="single" w:sz="6" w:color="BFD7D2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3F1"/>
          </w:tcPr>
          <w:p>
            <w:r>
              <w:rPr>
                <w:b/>
                <w:color w:val="247B78"/>
              </w:rPr>
              <w:t xml:space="preserve">Visitor prompt  </w:t>
            </w:r>
            <w:r>
              <w:t>Which zone should environmental scientists investigate first, and what evidence supports your conclusion?</w:t>
            </w:r>
          </w:p>
        </w:tc>
      </w:tr>
    </w:tbl>
    <w:p>
      <w:pPr>
        <w:spacing w:after="0"/>
      </w:pPr>
    </w:p>
    <w:p>
      <w:pPr>
        <w:pStyle w:val="Heading2"/>
      </w:pPr>
      <w:r>
        <w:t>Recommended interaction flow</w:t>
      </w:r>
    </w:p>
    <w:p>
      <w:pPr>
        <w:pStyle w:val="ListBullet"/>
      </w:pPr>
      <w:r>
        <w:t>1. Orient: read a 60-word client brief and view the study-area zones.</w:t>
      </w:r>
    </w:p>
    <w:p>
      <w:pPr>
        <w:pStyle w:val="ListBullet"/>
      </w:pPr>
      <w:r>
        <w:t>2. Inspect: toggle between the natural-color orthomosaic and NDVI views; open sample-point details. The demonstration flight context is a DJI Mavic 3 Multispectral at 200 ft AGL (61 m).</w:t>
      </w:r>
    </w:p>
    <w:p>
      <w:pPr>
        <w:pStyle w:val="ListBullet"/>
      </w:pPr>
      <w:r>
        <w:t>3. Reason: select a priority zone and choose or type two pieces of evidence.</w:t>
      </w:r>
    </w:p>
    <w:p>
      <w:pPr>
        <w:pStyle w:val="ListBullet"/>
      </w:pPr>
      <w:r>
        <w:t>4. Qualify: choose one limitation or alternative explanation.</w:t>
      </w:r>
    </w:p>
    <w:p>
      <w:pPr>
        <w:pStyle w:val="ListBullet"/>
      </w:pPr>
      <w:r>
        <w:t>5. Recommend: select a proportional next step.</w:t>
      </w:r>
    </w:p>
    <w:p>
      <w:pPr>
        <w:pStyle w:val="ListBullet"/>
      </w:pPr>
      <w:r>
        <w:t>6. Compare: reveal an instructor model only after the visitor submits a response.</w:t>
      </w:r>
    </w:p>
    <w:p>
      <w:pPr>
        <w:pStyle w:val="Heading2"/>
      </w:pPr>
      <w:r>
        <w:t>Screen-level content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1944"/>
        <w:gridCol w:w="7416"/>
      </w:tblGrid>
      <w:tr>
        <w:trPr>
          <w:tblHeader w:val="true"/>
        </w:trPr>
        <w:tc>
          <w:tcPr>
            <w:tcW w:type="dxa" w:w="19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Panel</w:t>
            </w:r>
          </w:p>
        </w:tc>
        <w:tc>
          <w:tcPr>
            <w:tcW w:type="dxa" w:w="7416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Content / behavior</w:t>
            </w:r>
          </w:p>
        </w:tc>
      </w:tr>
      <w:tr>
        <w:tc>
          <w:tcPr>
            <w:tcW w:type="dxa" w:w="1944"/>
          </w:tcPr>
          <w:p>
            <w:pPr>
              <w:jc w:val="center"/>
            </w:pPr>
            <w:r>
              <w:rPr>
                <w:sz w:val="16"/>
              </w:rPr>
              <w:t>Client brief</w:t>
            </w:r>
          </w:p>
        </w:tc>
        <w:tc>
          <w:tcPr>
            <w:tcW w:type="dxa" w:w="7416"/>
          </w:tcPr>
          <w:p>
            <w:pPr>
              <w:jc w:val="left"/>
            </w:pPr>
            <w:r>
              <w:rPr>
                <w:sz w:val="16"/>
              </w:rPr>
              <w:t>Staff observed discoloration in emergent vegetation; prioritize follow-up, not treatment.</w:t>
            </w:r>
          </w:p>
        </w:tc>
      </w:tr>
      <w:tr>
        <w:tc>
          <w:tcPr>
            <w:tcW w:type="dxa" w:w="1944"/>
            <w:shd w:fill="F8FAFA"/>
          </w:tcPr>
          <w:p>
            <w:pPr>
              <w:jc w:val="center"/>
            </w:pPr>
            <w:r>
              <w:rPr>
                <w:sz w:val="16"/>
              </w:rPr>
              <w:t>Map</w:t>
            </w:r>
          </w:p>
        </w:tc>
        <w:tc>
          <w:tcPr>
            <w:tcW w:type="dxa" w:w="7416"/>
            <w:shd w:fill="F8FAFA"/>
          </w:tcPr>
          <w:p>
            <w:pPr>
              <w:jc w:val="left"/>
            </w:pPr>
            <w:r>
              <w:rPr>
                <w:sz w:val="16"/>
              </w:rPr>
              <w:t>Side-by-side on wide screens; tabs on small screens. Keep Zone labels visible in both views.</w:t>
            </w:r>
          </w:p>
        </w:tc>
      </w:tr>
      <w:tr>
        <w:tc>
          <w:tcPr>
            <w:tcW w:type="dxa" w:w="1944"/>
          </w:tcPr>
          <w:p>
            <w:pPr>
              <w:jc w:val="left"/>
            </w:pPr>
            <w:r>
              <w:rPr>
                <w:sz w:val="16"/>
              </w:rPr>
              <w:t>Sample drawer</w:t>
            </w:r>
          </w:p>
        </w:tc>
        <w:tc>
          <w:tcPr>
            <w:tcW w:type="dxa" w:w="7416"/>
          </w:tcPr>
          <w:p>
            <w:pPr>
              <w:jc w:val="left"/>
            </w:pPr>
            <w:r>
              <w:rPr>
                <w:sz w:val="16"/>
              </w:rPr>
              <w:t>Rows S1-S12 with Red, NIR, provided NDVI, water depth, and field note.</w:t>
            </w:r>
          </w:p>
        </w:tc>
      </w:tr>
      <w:tr>
        <w:tc>
          <w:tcPr>
            <w:tcW w:type="dxa" w:w="1944"/>
            <w:shd w:fill="F8FAFA"/>
          </w:tcPr>
          <w:p>
            <w:pPr>
              <w:jc w:val="center"/>
            </w:pPr>
            <w:r>
              <w:rPr>
                <w:sz w:val="16"/>
              </w:rPr>
              <w:t>Response</w:t>
            </w:r>
          </w:p>
        </w:tc>
        <w:tc>
          <w:tcPr>
            <w:tcW w:type="dxa" w:w="7416"/>
            <w:shd w:fill="F8FAFA"/>
          </w:tcPr>
          <w:p>
            <w:pPr>
              <w:jc w:val="left"/>
            </w:pPr>
            <w:r>
              <w:rPr>
                <w:sz w:val="16"/>
              </w:rPr>
              <w:t>Priority Zone A/B/C/D; evidence chips plus optional text; uncertainty; next step.</w:t>
            </w:r>
          </w:p>
        </w:tc>
      </w:tr>
      <w:tr>
        <w:tc>
          <w:tcPr>
            <w:tcW w:type="dxa" w:w="1944"/>
          </w:tcPr>
          <w:p>
            <w:pPr>
              <w:jc w:val="center"/>
            </w:pPr>
            <w:r>
              <w:rPr>
                <w:sz w:val="16"/>
              </w:rPr>
              <w:t>Feedback</w:t>
            </w:r>
          </w:p>
        </w:tc>
        <w:tc>
          <w:tcPr>
            <w:tcW w:type="dxa" w:w="7416"/>
          </w:tcPr>
          <w:p>
            <w:pPr>
              <w:jc w:val="left"/>
            </w:pPr>
            <w:r>
              <w:rPr>
                <w:sz w:val="16"/>
              </w:rPr>
              <w:t>Explain that Zone B is best supported; warn that Zone C is water; emphasize causal uncertainty.</w:t>
            </w:r>
          </w:p>
        </w:tc>
      </w:tr>
      <w:tr>
        <w:tc>
          <w:tcPr>
            <w:tcW w:type="dxa" w:w="1944"/>
            <w:shd w:fill="F8FAFA"/>
          </w:tcPr>
          <w:p>
            <w:pPr>
              <w:jc w:val="center"/>
            </w:pPr>
            <w:r>
              <w:rPr>
                <w:sz w:val="16"/>
              </w:rPr>
              <w:t>Extension</w:t>
            </w:r>
          </w:p>
        </w:tc>
        <w:tc>
          <w:tcPr>
            <w:tcW w:type="dxa" w:w="7416"/>
            <w:shd w:fill="F8FAFA"/>
          </w:tcPr>
          <w:p>
            <w:pPr>
              <w:jc w:val="left"/>
            </w:pPr>
            <w:r>
              <w:rPr>
                <w:sz w:val="16"/>
              </w:rPr>
              <w:t>Optional calculate-NDVI mode hides provided values for three samples.</w:t>
            </w:r>
          </w:p>
        </w:tc>
      </w:tr>
    </w:tbl>
    <w:p>
      <w:pPr>
        <w:spacing w:after="0"/>
      </w:pPr>
    </w:p>
    <w:p>
      <w:r>
        <w:drawing>
          <wp:inline xmlns:a="http://schemas.openxmlformats.org/drawingml/2006/main" xmlns:pic="http://schemas.openxmlformats.org/drawingml/2006/picture">
            <wp:extent cx="5212080" cy="5472684"/>
            <wp:docPr id="1" name="Picture 1" descr="Simulated wetland Natural-color orthomosaic divided into Zones A through D with twelve labeled samples." title="simulated wetland rgb m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ulated_wetland_rgb_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47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212080" cy="5472684"/>
            <wp:docPr id="2" name="Picture 2" descr="Simulated NDVI map showing contrasting vegetation and open-water patterns across Zones A through D." title="simulated wetland ndvi ma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ulated_wetland_ndvi_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47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Model feedback after submission</w:t>
      </w:r>
    </w:p>
    <w:p>
      <w:r>
        <w:t>Zone B is the strongest priority because its three samples combine lower positive NDVI with field notes describing patchy or discolored vegetation. Zone C has lower values, but it is open water; negative NDVI there does not identify stressed emergent vegetation. The appropriate next step is targeted field sampling and repeat/controlled measurement, not immediate treatment.</w:t>
      </w:r>
    </w:p>
    <w:p>
      <w:pPr>
        <w:pStyle w:val="Heading1"/>
      </w:pPr>
      <w:r>
        <w:t>Accessibility requirements</w:t>
      </w:r>
    </w:p>
    <w:p>
      <w:pPr>
        <w:pStyle w:val="ListBullet"/>
      </w:pPr>
      <w:r>
        <w:t>Keyboard-operable layer tabs, sample points, form controls, and feedback reveal.</w:t>
      </w:r>
    </w:p>
    <w:p>
      <w:pPr>
        <w:pStyle w:val="ListBullet"/>
      </w:pPr>
      <w:r>
        <w:t>Do not encode meaning by color alone; retain zone labels, point labels, and a table alternative.</w:t>
      </w:r>
    </w:p>
    <w:p>
      <w:pPr>
        <w:pStyle w:val="ListBullet"/>
      </w:pPr>
      <w:r>
        <w:t>High-contrast focus states and text with at least WCAG AA contrast.</w:t>
      </w:r>
    </w:p>
    <w:p>
      <w:pPr>
        <w:pStyle w:val="ListBullet"/>
      </w:pPr>
      <w:r>
        <w:t>Map alt text: 'Simulated natural-color drone orthomosaic of a wetland divided into Zones A-D. A creek, open-water pond, maintenance track, and field sample locations orient the investigation.'</w:t>
      </w:r>
    </w:p>
    <w:p>
      <w:pPr>
        <w:pStyle w:val="ListBullet"/>
      </w:pPr>
      <w:r>
        <w:t>NDVI alt text: 'Simulated NDVI orthomosaic of the same wetland, with stronger vegetation response in Zones A and D, moderately lower response in Zone B, and lowest values over open-water Zone C.'</w:t>
      </w:r>
    </w:p>
    <w:p>
      <w:pPr>
        <w:pStyle w:val="ListBullet"/>
      </w:pPr>
      <w:r>
        <w:t>A complete non-map pathway using the sample table and zone summaries.</w:t>
      </w:r>
    </w:p>
    <w:p>
      <w:pPr>
        <w:pStyle w:val="ListBullet"/>
      </w:pPr>
      <w:r>
        <w:t>No timer; feedback does not rely on animation; downloadable files use descriptive names.</w:t>
      </w:r>
    </w:p>
    <w:p>
      <w:pPr>
        <w:pStyle w:val="Heading1"/>
      </w:pPr>
      <w:r>
        <w:t>Suggested real-world datasets and visuals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CBD5D9"/>
          <w:left w:val="single" w:sz="6" w:color="CBD5D9"/>
          <w:bottom w:val="single" w:sz="6" w:color="CBD5D9"/>
          <w:right w:val="single" w:sz="6" w:color="CBD5D9"/>
          <w:insideH w:val="single" w:sz="6" w:color="CBD5D9"/>
          <w:insideV w:val="single" w:sz="6" w:color="CBD5D9"/>
        </w:tblBorders>
      </w:tblPr>
      <w:tblGrid>
        <w:gridCol w:w="2448"/>
        <w:gridCol w:w="3168"/>
        <w:gridCol w:w="3744"/>
      </w:tblGrid>
      <w:tr>
        <w:trPr>
          <w:tblHeader w:val="true"/>
        </w:trPr>
        <w:tc>
          <w:tcPr>
            <w:tcW w:type="dxa" w:w="244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Resource</w:t>
            </w:r>
          </w:p>
        </w:tc>
        <w:tc>
          <w:tcPr>
            <w:tcW w:type="dxa" w:w="316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Best use</w:t>
            </w:r>
          </w:p>
        </w:tc>
        <w:tc>
          <w:tcPr>
            <w:tcW w:type="dxa" w:w="374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7324D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Implementation caution</w:t>
            </w:r>
          </w:p>
        </w:tc>
      </w:tr>
      <w:tr>
        <w:tc>
          <w:tcPr>
            <w:tcW w:type="dxa" w:w="2448"/>
          </w:tcPr>
          <w:p>
            <w:pPr>
              <w:jc w:val="left"/>
            </w:pPr>
            <w:r>
              <w:rPr>
                <w:sz w:val="16"/>
              </w:rPr>
              <w:t>OpenAerialMap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Openly licensed aerial/UAV imagery for image interpretation</w:t>
            </w:r>
          </w:p>
        </w:tc>
        <w:tc>
          <w:tcPr>
            <w:tcW w:type="dxa" w:w="3744"/>
          </w:tcPr>
          <w:p>
            <w:pPr>
              <w:jc w:val="left"/>
            </w:pPr>
            <w:r>
              <w:rPr>
                <w:sz w:val="16"/>
              </w:rPr>
              <w:t>Coverage and dates vary; verify the specific image license and metadata.</w:t>
            </w:r>
          </w:p>
        </w:tc>
      </w:tr>
      <w:tr>
        <w:tc>
          <w:tcPr>
            <w:tcW w:type="dxa" w:w="2448"/>
            <w:shd w:fill="F8FAFA"/>
          </w:tcPr>
          <w:p>
            <w:pPr>
              <w:jc w:val="left"/>
            </w:pPr>
            <w:r>
              <w:rPr>
                <w:sz w:val="16"/>
              </w:rPr>
              <w:t>USGS EarthExplorer / Landsat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Regional comparison, multitemporal context, NDVI extension</w:t>
            </w:r>
          </w:p>
        </w:tc>
        <w:tc>
          <w:tcPr>
            <w:tcW w:type="dxa" w:w="3744"/>
            <w:shd w:fill="F8FAFA"/>
          </w:tcPr>
          <w:p>
            <w:pPr>
              <w:jc w:val="left"/>
            </w:pPr>
            <w:r>
              <w:rPr>
                <w:sz w:val="16"/>
              </w:rPr>
              <w:t>30 m pixels illustrate scale differences but are not drone imagery.</w:t>
            </w:r>
          </w:p>
        </w:tc>
      </w:tr>
      <w:tr>
        <w:tc>
          <w:tcPr>
            <w:tcW w:type="dxa" w:w="2448"/>
          </w:tcPr>
          <w:p>
            <w:pPr>
              <w:jc w:val="left"/>
            </w:pPr>
            <w:r>
              <w:rPr>
                <w:sz w:val="16"/>
              </w:rPr>
              <w:t>USDA NAIP via EarthExplorer or GIS services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US aerial context and land-cover comparison</w:t>
            </w:r>
          </w:p>
        </w:tc>
        <w:tc>
          <w:tcPr>
            <w:tcW w:type="dxa" w:w="3744"/>
          </w:tcPr>
          <w:p>
            <w:pPr>
              <w:jc w:val="left"/>
            </w:pPr>
            <w:r>
              <w:rPr>
                <w:sz w:val="16"/>
              </w:rPr>
              <w:t>Imagery date, resolution, and access services vary by location.</w:t>
            </w:r>
          </w:p>
        </w:tc>
      </w:tr>
      <w:tr>
        <w:tc>
          <w:tcPr>
            <w:tcW w:type="dxa" w:w="2448"/>
            <w:shd w:fill="F8FAFA"/>
          </w:tcPr>
          <w:p>
            <w:pPr>
              <w:jc w:val="left"/>
            </w:pPr>
            <w:r>
              <w:rPr>
                <w:sz w:val="16"/>
              </w:rPr>
              <w:t>Local instructor-owned orthomosaic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Authentic drone workflow demonstration</w:t>
            </w:r>
          </w:p>
        </w:tc>
        <w:tc>
          <w:tcPr>
            <w:tcW w:type="dxa" w:w="3744"/>
            <w:shd w:fill="F8FAFA"/>
          </w:tcPr>
          <w:p>
            <w:pPr>
              <w:jc w:val="left"/>
            </w:pPr>
            <w:r>
              <w:rPr>
                <w:sz w:val="16"/>
              </w:rPr>
              <w:t>Remove sensitive locations/people; document permission, accuracy, and processing.</w:t>
            </w:r>
          </w:p>
        </w:tc>
      </w:tr>
      <w:tr>
        <w:tc>
          <w:tcPr>
            <w:tcW w:type="dxa" w:w="2448"/>
          </w:tcPr>
          <w:p>
            <w:pPr>
              <w:jc w:val="left"/>
            </w:pPr>
            <w:r>
              <w:rPr>
                <w:sz w:val="16"/>
              </w:rPr>
              <w:t>Simulated Marshview packet</w:t>
            </w:r>
          </w:p>
        </w:tc>
        <w:tc>
          <w:tcPr>
            <w:tcW w:type="dxa" w:w="3168"/>
          </w:tcPr>
          <w:p>
            <w:pPr>
              <w:jc w:val="left"/>
            </w:pPr>
            <w:r>
              <w:rPr>
                <w:sz w:val="16"/>
              </w:rPr>
              <w:t>Stable portfolio demo with known answer logic</w:t>
            </w:r>
          </w:p>
        </w:tc>
        <w:tc>
          <w:tcPr>
            <w:tcW w:type="dxa" w:w="3744"/>
          </w:tcPr>
          <w:p>
            <w:pPr>
              <w:jc w:val="left"/>
            </w:pPr>
            <w:r>
              <w:rPr>
                <w:sz w:val="16"/>
              </w:rPr>
              <w:t>Always label it simulated; do not imply field collection or ecological diagnosis.</w:t>
            </w:r>
          </w:p>
        </w:tc>
      </w:tr>
      <w:tr>
        <w:tc>
          <w:tcPr>
            <w:tcW w:type="dxa" w:w="2448"/>
            <w:shd w:fill="F8FAFA"/>
          </w:tcPr>
          <w:p>
            <w:pPr>
              <w:jc w:val="left"/>
            </w:pPr>
            <w:r>
              <w:rPr>
                <w:sz w:val="16"/>
              </w:rPr>
              <w:t>Workflow and product screenshots</w:t>
            </w:r>
          </w:p>
        </w:tc>
        <w:tc>
          <w:tcPr>
            <w:tcW w:type="dxa" w:w="3168"/>
            <w:shd w:fill="F8FAFA"/>
          </w:tcPr>
          <w:p>
            <w:pPr>
              <w:jc w:val="left"/>
            </w:pPr>
            <w:r>
              <w:rPr>
                <w:sz w:val="16"/>
              </w:rPr>
              <w:t>Show overlap, point cloud, orthomosaic, and surface model</w:t>
            </w:r>
          </w:p>
        </w:tc>
        <w:tc>
          <w:tcPr>
            <w:tcW w:type="dxa" w:w="3744"/>
            <w:shd w:fill="F8FAFA"/>
          </w:tcPr>
          <w:p>
            <w:pPr>
              <w:jc w:val="left"/>
            </w:pPr>
            <w:r>
              <w:rPr>
                <w:sz w:val="16"/>
              </w:rPr>
              <w:t>Use only original, licensed, or properly attributed visuals.</w:t>
            </w:r>
          </w:p>
        </w:tc>
      </w:tr>
    </w:tbl>
    <w:p>
      <w:pPr>
        <w:spacing w:after="0"/>
      </w:pPr>
    </w:p>
    <w:p>
      <w:pPr>
        <w:pStyle w:val="Heading1"/>
      </w:pPr>
      <w:r>
        <w:t>Editorial and implementation notes</w:t>
      </w:r>
    </w:p>
    <w:p>
      <w:pPr>
        <w:pStyle w:val="ListBullet"/>
      </w:pPr>
      <w:r>
        <w:t>Keep the project inside the existing Education section and visual system; avoid redesigning unrelated portfolio routes.</w:t>
      </w:r>
    </w:p>
    <w:p>
      <w:pPr>
        <w:pStyle w:val="ListBullet"/>
      </w:pPr>
      <w:r>
        <w:t>Lead with the student experience, then show the design rationale and standards.</w:t>
      </w:r>
    </w:p>
    <w:p>
      <w:pPr>
        <w:pStyle w:val="ListBullet"/>
      </w:pPr>
      <w:r>
        <w:t>Preview workbook pages and the interactive evidence task; do not place full answer keys in a student-facing preview.</w:t>
      </w:r>
    </w:p>
    <w:p>
      <w:pPr>
        <w:pStyle w:val="ListBullet"/>
      </w:pPr>
      <w:r>
        <w:t>Label all simulated data and generated visuals at the point of use.</w:t>
      </w:r>
    </w:p>
    <w:p>
      <w:pPr>
        <w:pStyle w:val="ListBullet"/>
      </w:pPr>
      <w:r>
        <w:t>Add a 'last reviewed' date near standards and FAA links.</w:t>
      </w:r>
    </w:p>
    <w:p>
      <w:pPr>
        <w:pStyle w:val="ListBullet"/>
      </w:pPr>
      <w:r>
        <w:t>Offer DOCX downloads for instructor adaptation; optionally export accessible PDFs before publication.</w:t>
      </w:r>
    </w:p>
    <w:p>
      <w:pPr>
        <w:pStyle w:val="ListBullet"/>
      </w:pPr>
      <w:r>
        <w:t>Do not publish until the owner reviews copy, file visibility, answer-key placement, and mobile/accessibility behavior.</w:t>
      </w:r>
    </w:p>
    <w:p>
      <w:r>
        <w:br w:type="page"/>
      </w:r>
    </w:p>
    <w:p>
      <w:pPr>
        <w:pStyle w:val="Heading1"/>
      </w:pPr>
      <w:r>
        <w:t>Sources and currency note</w:t>
      </w:r>
    </w:p>
    <w:p>
      <w:r>
        <w:t>Standards and flight rules can change. The references below were checked on September 1, 2026. Instructors should recheck FAA and local requirements before any real-world flight. This unit does not require students to operate a drone.</w:t>
      </w:r>
    </w:p>
    <w:p>
      <w:pPr>
        <w:pStyle w:val="ListBullet"/>
      </w:pPr>
      <w:hyperlink r:id="rId13">
        <w:r>
          <w:rPr>
            <w:color w:val="247B78"/>
            <w:u w:val="single"/>
          </w:rPr>
          <w:t>College Board, AP Environmental Science</w:t>
        </w:r>
      </w:hyperlink>
    </w:p>
    <w:p>
      <w:pPr>
        <w:pStyle w:val="ListBullet"/>
      </w:pPr>
      <w:hyperlink r:id="rId14">
        <w:r>
          <w:rPr>
            <w:color w:val="247B78"/>
            <w:u w:val="single"/>
          </w:rPr>
          <w:t>Next Generation Science Standards, HS-ESS3-4</w:t>
        </w:r>
      </w:hyperlink>
    </w:p>
    <w:p>
      <w:pPr>
        <w:pStyle w:val="ListBullet"/>
      </w:pPr>
      <w:hyperlink r:id="rId15">
        <w:r>
          <w:rPr>
            <w:color w:val="247B78"/>
            <w:u w:val="single"/>
          </w:rPr>
          <w:t>Next Generation Science Standards, HS-ESS3-6</w:t>
        </w:r>
      </w:hyperlink>
    </w:p>
    <w:p>
      <w:pPr>
        <w:pStyle w:val="ListBullet"/>
      </w:pPr>
      <w:hyperlink r:id="rId16">
        <w:r>
          <w:rPr>
            <w:color w:val="247B78"/>
            <w:u w:val="single"/>
          </w:rPr>
          <w:t>Next Generation Science Standards, HS-LS2-7</w:t>
        </w:r>
      </w:hyperlink>
    </w:p>
    <w:p>
      <w:pPr>
        <w:pStyle w:val="ListBullet"/>
      </w:pPr>
      <w:hyperlink r:id="rId17">
        <w:r>
          <w:rPr>
            <w:color w:val="247B78"/>
            <w:u w:val="single"/>
          </w:rPr>
          <w:t>FAA, Recreational Flyers and Small UAS overview</w:t>
        </w:r>
      </w:hyperlink>
    </w:p>
    <w:p>
      <w:pPr>
        <w:pStyle w:val="ListBullet"/>
      </w:pPr>
      <w:hyperlink r:id="rId18">
        <w:r>
          <w:rPr>
            <w:color w:val="247B78"/>
            <w:u w:val="single"/>
          </w:rPr>
          <w:t>USGS, Landsat Data Access</w:t>
        </w:r>
      </w:hyperlink>
    </w:p>
    <w:p>
      <w:pPr>
        <w:pStyle w:val="ListBullet"/>
      </w:pPr>
      <w:hyperlink r:id="rId19">
        <w:r>
          <w:rPr>
            <w:color w:val="247B78"/>
            <w:u w:val="single"/>
          </w:rPr>
          <w:t>OpenAerialMap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24" w:bottom="1080" w:left="1224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6616B"/>
        <w:sz w:val="16"/>
      </w:rPr>
      <w:t xml:space="preserve">Introduction to Drone Remote Sensing for Environmental Science  |  </w:t>
    </w:r>
    <w:r>
      <w:rPr>
        <w:color w:val="56616B"/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8" w:color="BFD7D2"/>
      </w:pBdr>
    </w:pPr>
    <w:r>
      <w:rPr>
        <w:rFonts w:ascii="Aptos" w:hAnsi="Aptos"/>
        <w:b/>
        <w:color w:val="247B78"/>
        <w:sz w:val="17"/>
      </w:rPr>
      <w:t>PORTFOLIO PRESENTATION 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52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47B7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5682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Aptos" w:hAnsi="Aptos"/>
      <w:b w:val="0"/>
      <w:i/>
      <w:iCs/>
      <w:color w:val="56616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pcentral.collegeboard.org/courses/ap-environmental-science" TargetMode="External"/><Relationship Id="rId14" Type="http://schemas.openxmlformats.org/officeDocument/2006/relationships/hyperlink" Target="https://www.nextgenscience.org/pe/hs-ess3-4-earth-and-human-activity" TargetMode="External"/><Relationship Id="rId15" Type="http://schemas.openxmlformats.org/officeDocument/2006/relationships/hyperlink" Target="https://www.nextgenscience.org/pe/hs-ess3-6-earth-and-human-activity" TargetMode="External"/><Relationship Id="rId16" Type="http://schemas.openxmlformats.org/officeDocument/2006/relationships/hyperlink" Target="https://www.nextgenscience.org/pe/hs-ls2-7-ecosystems-interactions-energy-and-dynamics" TargetMode="External"/><Relationship Id="rId17" Type="http://schemas.openxmlformats.org/officeDocument/2006/relationships/hyperlink" Target="https://www.faa.gov/uas/recreational_flyers" TargetMode="External"/><Relationship Id="rId18" Type="http://schemas.openxmlformats.org/officeDocument/2006/relationships/hyperlink" Target="https://www.usgs.gov/landsat-missions/landsat-data-access" TargetMode="External"/><Relationship Id="rId19" Type="http://schemas.openxmlformats.org/officeDocument/2006/relationships/hyperlink" Target="https://map.openaerialma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