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80"/>
        <w:jc w:val="center"/>
      </w:pPr>
      <w:r>
        <w:rPr>
          <w:b/>
          <w:color w:val="247B78"/>
          <w:sz w:val="20"/>
        </w:rPr>
        <w:t>INSTRUCTOR-ONLY RESOURCE</w:t>
      </w:r>
    </w:p>
    <w:p>
      <w:pPr>
        <w:pStyle w:val="Title"/>
        <w:jc w:val="center"/>
      </w:pPr>
      <w:r>
        <w:t>Introduction to Drone Remote Sensing for Environmental Science</w:t>
      </w:r>
    </w:p>
    <w:p>
      <w:pPr>
        <w:pStyle w:val="Subtitle"/>
        <w:jc w:val="center"/>
      </w:pPr>
      <w:r>
        <w:t>Formative Assessment Guide, Summative Assessment, Answer Keys, and Rubric</w:t>
      </w:r>
    </w:p>
    <w:tbl>
      <w:tblPr>
        <w:tblW w:type="dxa" w:w="9360"/>
        <w:jc w:val="center"/>
        <w:tblLook w:firstColumn="1" w:firstRow="1" w:lastColumn="0" w:lastRow="0" w:noHBand="0" w:noVBand="1" w:val="04A0"/>
        <w:tblLayout w:type="fixed"/>
        <w:tblInd w:w="120" w:type="dxa"/>
        <w:tblBorders>
          <w:top w:val="single" w:sz="5" w:color="D7E4E1"/>
          <w:left w:val="single" w:sz="5" w:color="D7E4E1"/>
          <w:bottom w:val="single" w:sz="5" w:color="D7E4E1"/>
          <w:right w:val="single" w:sz="5" w:color="D7E4E1"/>
          <w:insideH w:val="single" w:sz="5" w:color="D7E4E1"/>
          <w:insideV w:val="single" w:sz="5" w:color="D7E4E1"/>
        </w:tblBorders>
      </w:tblPr>
      <w:tblGrid>
        <w:gridCol w:w="3096"/>
        <w:gridCol w:w="3096"/>
        <w:gridCol w:w="3168"/>
      </w:tblGrid>
      <w:tr>
        <w:tc>
          <w:tcPr>
            <w:tcW w:type="dxa" w:w="3096"/>
            <w:tcMar>
              <w:top w:w="100" w:type="dxa"/>
              <w:start w:w="120" w:type="dxa"/>
              <w:bottom w:w="100" w:type="dxa"/>
              <w:end w:w="120" w:type="dxa"/>
            </w:tcMar>
            <w:vAlign w:val="center"/>
            <w:shd w:fill="EAF3F1"/>
          </w:tcPr>
          <w:p>
            <w:pPr>
              <w:jc w:val="center"/>
            </w:pPr>
            <w:r>
              <w:rPr>
                <w:b/>
                <w:color w:val="247B78"/>
                <w:sz w:val="16"/>
              </w:rPr>
              <w:t>AUDIENCE</w:t>
              <w:br/>
            </w:r>
            <w:r>
              <w:rPr>
                <w:sz w:val="19"/>
              </w:rPr>
              <w:t>AP Environmental Science and introductory undergraduate environmental science</w:t>
            </w:r>
          </w:p>
        </w:tc>
        <w:tc>
          <w:tcPr>
            <w:tcW w:type="dxa" w:w="3096"/>
            <w:tcMar>
              <w:top w:w="100" w:type="dxa"/>
              <w:start w:w="120" w:type="dxa"/>
              <w:bottom w:w="100" w:type="dxa"/>
              <w:end w:w="120" w:type="dxa"/>
            </w:tcMar>
            <w:vAlign w:val="center"/>
            <w:shd w:fill="EAF3F1"/>
          </w:tcPr>
          <w:p>
            <w:pPr>
              <w:jc w:val="center"/>
            </w:pPr>
            <w:r>
              <w:rPr>
                <w:b/>
                <w:color w:val="247B78"/>
                <w:sz w:val="16"/>
              </w:rPr>
              <w:t>LENGTH</w:t>
              <w:br/>
            </w:r>
            <w:r>
              <w:rPr>
                <w:sz w:val="19"/>
              </w:rPr>
              <w:t>10 instructional days</w:t>
            </w:r>
          </w:p>
        </w:tc>
        <w:tc>
          <w:tcPr>
            <w:tcW w:type="dxa" w:w="3168"/>
            <w:tcMar>
              <w:top w:w="100" w:type="dxa"/>
              <w:start w:w="120" w:type="dxa"/>
              <w:bottom w:w="100" w:type="dxa"/>
              <w:end w:w="120" w:type="dxa"/>
            </w:tcMar>
            <w:vAlign w:val="center"/>
            <w:shd w:fill="EAF3F1"/>
          </w:tcPr>
          <w:p>
            <w:pPr>
              <w:jc w:val="center"/>
            </w:pPr>
            <w:r>
              <w:rPr>
                <w:b/>
                <w:color w:val="247B78"/>
                <w:sz w:val="16"/>
              </w:rPr>
              <w:t>RESOURCE</w:t>
              <w:br/>
            </w:r>
            <w:r>
              <w:rPr>
                <w:sz w:val="19"/>
              </w:rPr>
              <w:t>Assessment and scoring</w:t>
            </w:r>
          </w:p>
        </w:tc>
      </w:tr>
    </w:tbl>
    <w:p/>
    <w:p>
      <w:pPr>
        <w:jc w:val="center"/>
      </w:pPr>
      <w:r>
        <w:rPr>
          <w:i/>
          <w:color w:val="17324D"/>
          <w:sz w:val="22"/>
        </w:rPr>
        <w:t>Driving question: How can drone-based remote sensing help environmental scientists observe, measure, and manage environmental change?</w:t>
      </w:r>
    </w:p>
    <w:p>
      <w:r>
        <w:br w:type="page"/>
      </w:r>
    </w:p>
    <w:p>
      <w:pPr>
        <w:pStyle w:val="Heading1"/>
      </w:pPr>
      <w:r>
        <w:t>Assessment architecture</w:t>
      </w:r>
    </w:p>
    <w:tbl>
      <w:tblPr>
        <w:tblW w:type="dxa" w:w="9360"/>
        <w:jc w:val="center"/>
        <w:tblLayout w:type="fixed"/>
        <w:tblLook w:firstColumn="1" w:firstRow="1" w:lastColumn="0" w:lastRow="0" w:noHBand="0" w:noVBand="1" w:val="04A0"/>
        <w:tblInd w:w="120" w:type="dxa"/>
        <w:tblBorders>
          <w:top w:val="single" w:sz="6" w:color="CBD5D9"/>
          <w:left w:val="single" w:sz="6" w:color="CBD5D9"/>
          <w:bottom w:val="single" w:sz="6" w:color="CBD5D9"/>
          <w:right w:val="single" w:sz="6" w:color="CBD5D9"/>
          <w:insideH w:val="single" w:sz="6" w:color="CBD5D9"/>
          <w:insideV w:val="single" w:sz="6" w:color="CBD5D9"/>
        </w:tblBorders>
      </w:tblPr>
      <w:tblGrid>
        <w:gridCol w:w="3024"/>
        <w:gridCol w:w="1800"/>
        <w:gridCol w:w="4536"/>
      </w:tblGrid>
      <w:tr>
        <w:trPr>
          <w:tblHeader w:val="true"/>
        </w:trPr>
        <w:tc>
          <w:tcPr>
            <w:tcW w:type="dxa" w:w="3024"/>
            <w:tcMar>
              <w:top w:w="100" w:type="dxa"/>
              <w:start w:w="120" w:type="dxa"/>
              <w:bottom w:w="100" w:type="dxa"/>
              <w:end w:w="120" w:type="dxa"/>
            </w:tcMar>
            <w:vAlign w:val="center"/>
            <w:shd w:fill="17324D"/>
          </w:tcPr>
          <w:p>
            <w:pPr>
              <w:jc w:val="center"/>
            </w:pPr>
            <w:r>
              <w:rPr>
                <w:b/>
                <w:color w:val="FFFFFF"/>
                <w:sz w:val="18"/>
              </w:rPr>
              <w:t>Component</w:t>
            </w:r>
          </w:p>
        </w:tc>
        <w:tc>
          <w:tcPr>
            <w:tcW w:type="dxa" w:w="1800"/>
            <w:tcMar>
              <w:top w:w="100" w:type="dxa"/>
              <w:start w:w="120" w:type="dxa"/>
              <w:bottom w:w="100" w:type="dxa"/>
              <w:end w:w="120" w:type="dxa"/>
            </w:tcMar>
            <w:vAlign w:val="center"/>
            <w:shd w:fill="17324D"/>
          </w:tcPr>
          <w:p>
            <w:pPr>
              <w:jc w:val="center"/>
            </w:pPr>
            <w:r>
              <w:rPr>
                <w:b/>
                <w:color w:val="FFFFFF"/>
                <w:sz w:val="18"/>
              </w:rPr>
              <w:t>Recommended weight</w:t>
            </w:r>
          </w:p>
        </w:tc>
        <w:tc>
          <w:tcPr>
            <w:tcW w:type="dxa" w:w="4536"/>
            <w:tcMar>
              <w:top w:w="100" w:type="dxa"/>
              <w:start w:w="120" w:type="dxa"/>
              <w:bottom w:w="100" w:type="dxa"/>
              <w:end w:w="120" w:type="dxa"/>
            </w:tcMar>
            <w:vAlign w:val="center"/>
            <w:shd w:fill="17324D"/>
          </w:tcPr>
          <w:p>
            <w:pPr>
              <w:jc w:val="center"/>
            </w:pPr>
            <w:r>
              <w:rPr>
                <w:b/>
                <w:color w:val="FFFFFF"/>
                <w:sz w:val="18"/>
              </w:rPr>
              <w:t>Evidence</w:t>
            </w:r>
          </w:p>
        </w:tc>
      </w:tr>
      <w:tr>
        <w:tc>
          <w:tcPr>
            <w:tcW w:type="dxa" w:w="3024"/>
          </w:tcPr>
          <w:p>
            <w:pPr>
              <w:jc w:val="left"/>
            </w:pPr>
            <w:r>
              <w:rPr>
                <w:sz w:val="18"/>
              </w:rPr>
              <w:t>Capstone assessment</w:t>
            </w:r>
          </w:p>
        </w:tc>
        <w:tc>
          <w:tcPr>
            <w:tcW w:type="dxa" w:w="1800"/>
          </w:tcPr>
          <w:p>
            <w:pPr>
              <w:jc w:val="center"/>
            </w:pPr>
            <w:r>
              <w:rPr>
                <w:sz w:val="18"/>
              </w:rPr>
              <w:t>70%</w:t>
            </w:r>
          </w:p>
        </w:tc>
        <w:tc>
          <w:tcPr>
            <w:tcW w:type="dxa" w:w="4536"/>
          </w:tcPr>
          <w:p>
            <w:pPr>
              <w:jc w:val="left"/>
            </w:pPr>
            <w:r>
              <w:rPr>
                <w:sz w:val="18"/>
              </w:rPr>
              <w:t>Team or individual report / briefing scored with analytic rubric</w:t>
            </w:r>
          </w:p>
        </w:tc>
      </w:tr>
      <w:tr>
        <w:tc>
          <w:tcPr>
            <w:tcW w:type="dxa" w:w="3024"/>
            <w:shd w:fill="F8FAFA"/>
          </w:tcPr>
          <w:p>
            <w:pPr>
              <w:jc w:val="left"/>
            </w:pPr>
            <w:r>
              <w:rPr>
                <w:sz w:val="18"/>
              </w:rPr>
              <w:t>Individual concept assessment</w:t>
            </w:r>
          </w:p>
        </w:tc>
        <w:tc>
          <w:tcPr>
            <w:tcW w:type="dxa" w:w="1800"/>
            <w:shd w:fill="F8FAFA"/>
          </w:tcPr>
          <w:p>
            <w:pPr>
              <w:jc w:val="center"/>
            </w:pPr>
            <w:r>
              <w:rPr>
                <w:sz w:val="18"/>
              </w:rPr>
              <w:t>30%</w:t>
            </w:r>
          </w:p>
        </w:tc>
        <w:tc>
          <w:tcPr>
            <w:tcW w:type="dxa" w:w="4536"/>
            <w:shd w:fill="F8FAFA"/>
          </w:tcPr>
          <w:p>
            <w:pPr>
              <w:jc w:val="left"/>
            </w:pPr>
            <w:r>
              <w:rPr>
                <w:sz w:val="18"/>
              </w:rPr>
              <w:t>Independent selected-response and constructed-response items</w:t>
            </w:r>
          </w:p>
        </w:tc>
      </w:tr>
    </w:tbl>
    <w:p>
      <w:pPr>
        <w:spacing w:after="0"/>
      </w:pPr>
    </w:p>
    <w:p>
      <w:r>
        <w:t>Use daily checks diagnostically. Do not grade early misconceptions as final mastery. Accept scientifically equivalent wording when the evidence and reasoning are correct.</w:t>
      </w:r>
    </w:p>
    <w:p>
      <w:pPr>
        <w:pStyle w:val="Heading1"/>
      </w:pPr>
      <w:r>
        <w:t>Daily formative answer guide</w:t>
      </w:r>
    </w:p>
    <w:tbl>
      <w:tblPr>
        <w:tblW w:type="dxa" w:w="9360"/>
        <w:jc w:val="center"/>
        <w:tblLayout w:type="fixed"/>
        <w:tblLook w:firstColumn="1" w:firstRow="1" w:lastColumn="0" w:lastRow="0" w:noHBand="0" w:noVBand="1" w:val="04A0"/>
        <w:tblInd w:w="120" w:type="dxa"/>
        <w:tblBorders>
          <w:top w:val="single" w:sz="6" w:color="CBD5D9"/>
          <w:left w:val="single" w:sz="6" w:color="CBD5D9"/>
          <w:bottom w:val="single" w:sz="6" w:color="CBD5D9"/>
          <w:right w:val="single" w:sz="6" w:color="CBD5D9"/>
          <w:insideH w:val="single" w:sz="6" w:color="CBD5D9"/>
          <w:insideV w:val="single" w:sz="6" w:color="CBD5D9"/>
        </w:tblBorders>
      </w:tblPr>
      <w:tblGrid>
        <w:gridCol w:w="936"/>
        <w:gridCol w:w="8424"/>
      </w:tblGrid>
      <w:tr>
        <w:trPr>
          <w:tblHeader w:val="true"/>
        </w:trPr>
        <w:tc>
          <w:tcPr>
            <w:tcW w:type="dxa" w:w="936"/>
            <w:tcMar>
              <w:top w:w="100" w:type="dxa"/>
              <w:start w:w="120" w:type="dxa"/>
              <w:bottom w:w="100" w:type="dxa"/>
              <w:end w:w="120" w:type="dxa"/>
            </w:tcMar>
            <w:vAlign w:val="center"/>
            <w:shd w:fill="17324D"/>
          </w:tcPr>
          <w:p>
            <w:pPr>
              <w:jc w:val="center"/>
            </w:pPr>
            <w:r>
              <w:rPr>
                <w:b/>
                <w:color w:val="FFFFFF"/>
                <w:sz w:val="17"/>
              </w:rPr>
              <w:t>Day</w:t>
            </w:r>
          </w:p>
        </w:tc>
        <w:tc>
          <w:tcPr>
            <w:tcW w:type="dxa" w:w="8424"/>
            <w:tcMar>
              <w:top w:w="100" w:type="dxa"/>
              <w:start w:w="120" w:type="dxa"/>
              <w:bottom w:w="100" w:type="dxa"/>
              <w:end w:w="120" w:type="dxa"/>
            </w:tcMar>
            <w:vAlign w:val="center"/>
            <w:shd w:fill="17324D"/>
          </w:tcPr>
          <w:p>
            <w:pPr>
              <w:jc w:val="center"/>
            </w:pPr>
            <w:r>
              <w:rPr>
                <w:b/>
                <w:color w:val="FFFFFF"/>
                <w:sz w:val="17"/>
              </w:rPr>
              <w:t>Look-for / sample response</w:t>
            </w:r>
          </w:p>
        </w:tc>
      </w:tr>
      <w:tr>
        <w:tc>
          <w:tcPr>
            <w:tcW w:type="dxa" w:w="936"/>
          </w:tcPr>
          <w:p>
            <w:pPr>
              <w:jc w:val="center"/>
            </w:pPr>
            <w:r>
              <w:rPr>
                <w:sz w:val="17"/>
              </w:rPr>
              <w:t>1</w:t>
            </w:r>
          </w:p>
        </w:tc>
        <w:tc>
          <w:tcPr>
            <w:tcW w:type="dxa" w:w="8424"/>
          </w:tcPr>
          <w:p>
            <w:pPr>
              <w:jc w:val="left"/>
            </w:pPr>
            <w:r>
              <w:rPr>
                <w:sz w:val="17"/>
              </w:rPr>
              <w:t>A suitable response names a phenomenon such as shoreline change or patch-scale vegetation stress, explains the value of broad spatial coverage/pattern recognition, and states a needed field check.</w:t>
            </w:r>
          </w:p>
        </w:tc>
      </w:tr>
      <w:tr>
        <w:tc>
          <w:tcPr>
            <w:tcW w:type="dxa" w:w="936"/>
            <w:shd w:fill="F8FAFA"/>
          </w:tcPr>
          <w:p>
            <w:pPr>
              <w:jc w:val="center"/>
            </w:pPr>
            <w:r>
              <w:rPr>
                <w:sz w:val="17"/>
              </w:rPr>
              <w:t>2</w:t>
            </w:r>
          </w:p>
        </w:tc>
        <w:tc>
          <w:tcPr>
            <w:tcW w:type="dxa" w:w="8424"/>
            <w:shd w:fill="F8FAFA"/>
          </w:tcPr>
          <w:p>
            <w:pPr>
              <w:jc w:val="left"/>
            </w:pPr>
            <w:r>
              <w:rPr>
                <w:sz w:val="17"/>
              </w:rPr>
              <w:t>Question -&gt; sensor/plan -&gt; collection -&gt; processing -&gt; GIS/quantitative analysis -&gt; interpretation -&gt; decision. Quality checks may include calibration, overlap, airspace/site check, positional control, and ground validation.</w:t>
            </w:r>
          </w:p>
        </w:tc>
      </w:tr>
      <w:tr>
        <w:tc>
          <w:tcPr>
            <w:tcW w:type="dxa" w:w="936"/>
          </w:tcPr>
          <w:p>
            <w:pPr>
              <w:jc w:val="center"/>
            </w:pPr>
            <w:r>
              <w:rPr>
                <w:sz w:val="17"/>
              </w:rPr>
              <w:t>3</w:t>
            </w:r>
          </w:p>
        </w:tc>
        <w:tc>
          <w:tcPr>
            <w:tcW w:type="dxa" w:w="8424"/>
          </w:tcPr>
          <w:p>
            <w:pPr>
              <w:jc w:val="left"/>
            </w:pPr>
            <w:r>
              <w:rPr>
                <w:sz w:val="17"/>
              </w:rPr>
              <w:t>Thermal sensor; it records emitted infrared energy/apparent surface-temperature patterns. A warm anomaly may indicate discharge, but confirmation requires temperature measurements and context.</w:t>
            </w:r>
          </w:p>
        </w:tc>
      </w:tr>
      <w:tr>
        <w:tc>
          <w:tcPr>
            <w:tcW w:type="dxa" w:w="936"/>
            <w:shd w:fill="F8FAFA"/>
          </w:tcPr>
          <w:p>
            <w:pPr>
              <w:jc w:val="center"/>
            </w:pPr>
            <w:r>
              <w:rPr>
                <w:sz w:val="17"/>
              </w:rPr>
              <w:t>4</w:t>
            </w:r>
          </w:p>
        </w:tc>
        <w:tc>
          <w:tcPr>
            <w:tcW w:type="dxa" w:w="8424"/>
            <w:shd w:fill="F8FAFA"/>
          </w:tcPr>
          <w:p>
            <w:pPr>
              <w:jc w:val="left"/>
            </w:pPr>
            <w:r>
              <w:rPr>
                <w:sz w:val="17"/>
              </w:rPr>
              <w:t>A 30 m pixel can summarize patterns across many hectares but mixes individual crowns and surroundings. Individual-tree diagnosis requires much finer detail and validation.</w:t>
            </w:r>
          </w:p>
        </w:tc>
      </w:tr>
      <w:tr>
        <w:tc>
          <w:tcPr>
            <w:tcW w:type="dxa" w:w="936"/>
          </w:tcPr>
          <w:p>
            <w:pPr>
              <w:jc w:val="center"/>
            </w:pPr>
            <w:r>
              <w:rPr>
                <w:sz w:val="17"/>
              </w:rPr>
              <w:t>5</w:t>
            </w:r>
          </w:p>
        </w:tc>
        <w:tc>
          <w:tcPr>
            <w:tcW w:type="dxa" w:w="8424"/>
          </w:tcPr>
          <w:p>
            <w:pPr>
              <w:jc w:val="left"/>
            </w:pPr>
            <w:r>
              <w:rPr>
                <w:sz w:val="17"/>
              </w:rPr>
              <w:t>NDVI = (0.60 - 0.20)/(0.60 + 0.20) = 0.50. Defensible: strong positive vegetation signal relative to lower-value areas. Overreach: proves a healthy native ecosystem.</w:t>
            </w:r>
          </w:p>
        </w:tc>
      </w:tr>
      <w:tr>
        <w:tc>
          <w:tcPr>
            <w:tcW w:type="dxa" w:w="936"/>
            <w:shd w:fill="F8FAFA"/>
          </w:tcPr>
          <w:p>
            <w:pPr>
              <w:jc w:val="center"/>
            </w:pPr>
            <w:r>
              <w:rPr>
                <w:sz w:val="17"/>
              </w:rPr>
              <w:t>6</w:t>
            </w:r>
          </w:p>
        </w:tc>
        <w:tc>
          <w:tcPr>
            <w:tcW w:type="dxa" w:w="8424"/>
            <w:shd w:fill="F8FAFA"/>
          </w:tcPr>
          <w:p>
            <w:pPr>
              <w:jc w:val="left"/>
            </w:pPr>
            <w:r>
              <w:rPr>
                <w:sz w:val="17"/>
              </w:rPr>
              <w:t>A DSM represents upper surfaces such as canopies and roofs. A DTM aims to represent bare earth, which requires filtering/classification and can be difficult under dense cover.</w:t>
            </w:r>
          </w:p>
        </w:tc>
      </w:tr>
      <w:tr>
        <w:tc>
          <w:tcPr>
            <w:tcW w:type="dxa" w:w="936"/>
          </w:tcPr>
          <w:p>
            <w:pPr>
              <w:jc w:val="center"/>
            </w:pPr>
            <w:r>
              <w:rPr>
                <w:sz w:val="17"/>
              </w:rPr>
              <w:t>7</w:t>
            </w:r>
          </w:p>
        </w:tc>
        <w:tc>
          <w:tcPr>
            <w:tcW w:type="dxa" w:w="8424"/>
          </w:tcPr>
          <w:p>
            <w:pPr>
              <w:jc w:val="left"/>
            </w:pPr>
            <w:r>
              <w:rPr>
                <w:sz w:val="17"/>
              </w:rPr>
              <w:t>Answers vary. Strong responses align sensor/resolution to the question and add a ground observation that could reduce uncertainty.</w:t>
            </w:r>
          </w:p>
        </w:tc>
      </w:tr>
      <w:tr>
        <w:tc>
          <w:tcPr>
            <w:tcW w:type="dxa" w:w="936"/>
            <w:shd w:fill="F8FAFA"/>
          </w:tcPr>
          <w:p>
            <w:pPr>
              <w:jc w:val="center"/>
            </w:pPr>
            <w:r>
              <w:rPr>
                <w:sz w:val="17"/>
              </w:rPr>
              <w:t>8</w:t>
            </w:r>
          </w:p>
        </w:tc>
        <w:tc>
          <w:tcPr>
            <w:tcW w:type="dxa" w:w="8424"/>
            <w:shd w:fill="F8FAFA"/>
          </w:tcPr>
          <w:p>
            <w:pPr>
              <w:jc w:val="left"/>
            </w:pPr>
            <w:r>
              <w:rPr>
                <w:sz w:val="17"/>
              </w:rPr>
              <w:t>Preferred position: remote and ground methods are complementary. Remote sensing adds coverage and pattern detection; field work provides direct measurements, causes, calibration, and validation.</w:t>
            </w:r>
          </w:p>
        </w:tc>
      </w:tr>
      <w:tr>
        <w:tc>
          <w:tcPr>
            <w:tcW w:type="dxa" w:w="936"/>
          </w:tcPr>
          <w:p>
            <w:pPr>
              <w:jc w:val="center"/>
            </w:pPr>
            <w:r>
              <w:rPr>
                <w:sz w:val="17"/>
              </w:rPr>
              <w:t>9</w:t>
            </w:r>
          </w:p>
        </w:tc>
        <w:tc>
          <w:tcPr>
            <w:tcW w:type="dxa" w:w="8424"/>
          </w:tcPr>
          <w:p>
            <w:pPr>
              <w:jc w:val="left"/>
            </w:pPr>
            <w:r>
              <w:rPr>
                <w:sz w:val="17"/>
              </w:rPr>
              <w:t>Zone B is the priority because of consistently lower positive NDVI and stress-related field notes. Zone C's negative values are associated with open water. Causes remain unconfirmed.</w:t>
            </w:r>
          </w:p>
        </w:tc>
      </w:tr>
      <w:tr>
        <w:tc>
          <w:tcPr>
            <w:tcW w:type="dxa" w:w="936"/>
            <w:shd w:fill="F8FAFA"/>
          </w:tcPr>
          <w:p>
            <w:pPr>
              <w:jc w:val="center"/>
            </w:pPr>
            <w:r>
              <w:rPr>
                <w:sz w:val="17"/>
              </w:rPr>
              <w:t>10</w:t>
            </w:r>
          </w:p>
        </w:tc>
        <w:tc>
          <w:tcPr>
            <w:tcW w:type="dxa" w:w="8424"/>
            <w:shd w:fill="F8FAFA"/>
          </w:tcPr>
          <w:p>
            <w:pPr>
              <w:jc w:val="left"/>
            </w:pPr>
            <w:r>
              <w:rPr>
                <w:sz w:val="17"/>
              </w:rPr>
              <w:t>Strong peer feedback checks evidence, alternative explanations, uncertainty, and whether the recommendation is proportional to the evidence.</w:t>
            </w:r>
          </w:p>
        </w:tc>
      </w:tr>
    </w:tbl>
    <w:p>
      <w:pPr>
        <w:spacing w:after="0"/>
      </w:pPr>
    </w:p>
    <w:p>
      <w:r>
        <w:br w:type="page"/>
      </w:r>
    </w:p>
    <w:p>
      <w:pPr>
        <w:pStyle w:val="Heading1"/>
      </w:pPr>
      <w:r>
        <w:t>Individual concept assessment - 30 points</w:t>
      </w:r>
    </w:p>
    <w:p>
      <w:r>
        <w:t>Suggested time: 25-35 minutes. Calculator permitted. Complete independently.</w:t>
      </w:r>
    </w:p>
    <w:p>
      <w:r>
        <w:rPr>
          <w:b/>
        </w:rPr>
        <w:t>1. Which statement best defines remote sensing?</w:t>
      </w:r>
    </w:p>
    <w:p>
      <w:pPr>
        <w:pStyle w:val="ListBullet"/>
      </w:pPr>
      <w:r>
        <w:t>A. Directly collecting soil in the field</w:t>
      </w:r>
    </w:p>
    <w:p>
      <w:pPr>
        <w:pStyle w:val="ListBullet"/>
      </w:pPr>
      <w:r>
        <w:t>B. Obtaining information without physical contact by recording energy or range</w:t>
      </w:r>
    </w:p>
    <w:p>
      <w:pPr>
        <w:pStyle w:val="ListBullet"/>
      </w:pPr>
      <w:r>
        <w:t>C. Drawing a map from memory</w:t>
      </w:r>
    </w:p>
    <w:p>
      <w:pPr>
        <w:pStyle w:val="ListBullet"/>
      </w:pPr>
      <w:r>
        <w:t>D. Flying any camera above ground</w:t>
      </w:r>
    </w:p>
    <w:p>
      <w:r>
        <w:rPr>
          <w:b/>
        </w:rPr>
        <w:t>2. Which sensor is the best starting choice for mapping an anomalously warm discharge plume?</w:t>
      </w:r>
    </w:p>
    <w:p>
      <w:pPr>
        <w:pStyle w:val="ListBullet"/>
      </w:pPr>
      <w:r>
        <w:t>A. Thermal</w:t>
      </w:r>
    </w:p>
    <w:p>
      <w:pPr>
        <w:pStyle w:val="ListBullet"/>
      </w:pPr>
      <w:r>
        <w:t>B. RGB</w:t>
      </w:r>
    </w:p>
    <w:p>
      <w:pPr>
        <w:pStyle w:val="ListBullet"/>
      </w:pPr>
      <w:r>
        <w:t>C. Lidar</w:t>
      </w:r>
    </w:p>
    <w:p>
      <w:pPr>
        <w:pStyle w:val="ListBullet"/>
      </w:pPr>
      <w:r>
        <w:t>D. Magnetometer</w:t>
      </w:r>
    </w:p>
    <w:p>
      <w:r>
        <w:rPr>
          <w:b/>
        </w:rPr>
        <w:t>3. A multispectral camera used for NDVI must include which two measurements?</w:t>
      </w:r>
    </w:p>
    <w:p>
      <w:pPr>
        <w:pStyle w:val="ListBullet"/>
      </w:pPr>
      <w:r>
        <w:t>A. Blue and thermal</w:t>
      </w:r>
    </w:p>
    <w:p>
      <w:pPr>
        <w:pStyle w:val="ListBullet"/>
      </w:pPr>
      <w:r>
        <w:t>B. Green and lidar</w:t>
      </w:r>
    </w:p>
    <w:p>
      <w:pPr>
        <w:pStyle w:val="ListBullet"/>
      </w:pPr>
      <w:r>
        <w:t>C. Red and near-infrared</w:t>
      </w:r>
    </w:p>
    <w:p>
      <w:pPr>
        <w:pStyle w:val="ListBullet"/>
      </w:pPr>
      <w:r>
        <w:t>D. Elevation and temperature</w:t>
      </w:r>
    </w:p>
    <w:p>
      <w:r>
        <w:rPr>
          <w:b/>
        </w:rPr>
        <w:t>4. Which resolution describes pixel ground dimensions?</w:t>
      </w:r>
    </w:p>
    <w:p>
      <w:pPr>
        <w:pStyle w:val="ListBullet"/>
      </w:pPr>
      <w:r>
        <w:t>A. Spectral</w:t>
      </w:r>
    </w:p>
    <w:p>
      <w:pPr>
        <w:pStyle w:val="ListBullet"/>
      </w:pPr>
      <w:r>
        <w:t>B. Spatial</w:t>
      </w:r>
    </w:p>
    <w:p>
      <w:pPr>
        <w:pStyle w:val="ListBullet"/>
      </w:pPr>
      <w:r>
        <w:t>C. Temporal</w:t>
      </w:r>
    </w:p>
    <w:p>
      <w:pPr>
        <w:pStyle w:val="ListBullet"/>
      </w:pPr>
      <w:r>
        <w:t>D. Radiometric</w:t>
      </w:r>
    </w:p>
    <w:p>
      <w:r>
        <w:rPr>
          <w:b/>
        </w:rPr>
        <w:t>5. Why can the finest spatial resolution be a poor operational choice?</w:t>
      </w:r>
    </w:p>
    <w:p>
      <w:pPr>
        <w:pStyle w:val="ListBullet"/>
      </w:pPr>
      <w:r>
        <w:t>A. Fine pixels contain no information</w:t>
      </w:r>
    </w:p>
    <w:p>
      <w:pPr>
        <w:pStyle w:val="ListBullet"/>
      </w:pPr>
      <w:r>
        <w:t>B. Fine resolution may increase data volume, time, cost, and privacy risk</w:t>
      </w:r>
    </w:p>
    <w:p>
      <w:pPr>
        <w:pStyle w:val="ListBullet"/>
      </w:pPr>
      <w:r>
        <w:t>C. Satellites never have fine pixels</w:t>
      </w:r>
    </w:p>
    <w:p>
      <w:pPr>
        <w:pStyle w:val="ListBullet"/>
      </w:pPr>
      <w:r>
        <w:t>D. Fine resolution prevents georeferencing</w:t>
      </w:r>
    </w:p>
    <w:p>
      <w:r>
        <w:rPr>
          <w:b/>
        </w:rPr>
        <w:t>6. What is the best interpretation of high NDVI?</w:t>
      </w:r>
    </w:p>
    <w:p>
      <w:pPr>
        <w:pStyle w:val="ListBullet"/>
      </w:pPr>
      <w:r>
        <w:t>A. Proof of high biodiversity</w:t>
      </w:r>
    </w:p>
    <w:p>
      <w:pPr>
        <w:pStyle w:val="ListBullet"/>
      </w:pPr>
      <w:r>
        <w:t>B. Proof no invasive species are present</w:t>
      </w:r>
    </w:p>
    <w:p>
      <w:pPr>
        <w:pStyle w:val="ListBullet"/>
      </w:pPr>
      <w:r>
        <w:t>C. A relatively strong vegetation reflectance signal that needs context</w:t>
      </w:r>
    </w:p>
    <w:p>
      <w:pPr>
        <w:pStyle w:val="ListBullet"/>
      </w:pPr>
      <w:r>
        <w:t>D. Direct measurement of photosynthetic rate</w:t>
      </w:r>
    </w:p>
    <w:p>
      <w:r>
        <w:rPr>
          <w:b/>
        </w:rPr>
        <w:t>7. What product is a corrected, georeferenced image mosaic?</w:t>
      </w:r>
    </w:p>
    <w:p>
      <w:pPr>
        <w:pStyle w:val="ListBullet"/>
      </w:pPr>
      <w:r>
        <w:t>A. Orthomosaic</w:t>
      </w:r>
    </w:p>
    <w:p>
      <w:pPr>
        <w:pStyle w:val="ListBullet"/>
      </w:pPr>
      <w:r>
        <w:t>B. Flight log</w:t>
      </w:r>
    </w:p>
    <w:p>
      <w:pPr>
        <w:pStyle w:val="ListBullet"/>
      </w:pPr>
      <w:r>
        <w:t>C. Raw photograph</w:t>
      </w:r>
    </w:p>
    <w:p>
      <w:pPr>
        <w:pStyle w:val="ListBullet"/>
      </w:pPr>
      <w:r>
        <w:t>D. DTM</w:t>
      </w:r>
    </w:p>
    <w:p>
      <w:r>
        <w:br w:type="page"/>
      </w:r>
    </w:p>
    <w:p>
      <w:r>
        <w:rPr>
          <w:b/>
        </w:rPr>
        <w:t>8. A digital surface model commonly includes:</w:t>
      </w:r>
    </w:p>
    <w:p>
      <w:pPr>
        <w:pStyle w:val="ListBullet"/>
      </w:pPr>
      <w:r>
        <w:t>A. Only bare earth</w:t>
      </w:r>
    </w:p>
    <w:p>
      <w:pPr>
        <w:pStyle w:val="ListBullet"/>
      </w:pPr>
      <w:r>
        <w:t>B. Canopies and buildings</w:t>
      </w:r>
    </w:p>
    <w:p>
      <w:pPr>
        <w:pStyle w:val="ListBullet"/>
      </w:pPr>
      <w:r>
        <w:t>C. Only water depth</w:t>
      </w:r>
    </w:p>
    <w:p>
      <w:pPr>
        <w:pStyle w:val="ListBullet"/>
      </w:pPr>
      <w:r>
        <w:t>D. Only latitude and longitude</w:t>
      </w:r>
    </w:p>
    <w:p>
      <w:r>
        <w:rPr>
          <w:b/>
        </w:rPr>
        <w:t>9. What is the strongest use of ground observations?</w:t>
      </w:r>
    </w:p>
    <w:p>
      <w:pPr>
        <w:pStyle w:val="ListBullet"/>
      </w:pPr>
      <w:r>
        <w:t>A. Decorate a map</w:t>
      </w:r>
    </w:p>
    <w:p>
      <w:pPr>
        <w:pStyle w:val="ListBullet"/>
      </w:pPr>
      <w:r>
        <w:t>B. Replace all image processing</w:t>
      </w:r>
    </w:p>
    <w:p>
      <w:pPr>
        <w:pStyle w:val="ListBullet"/>
      </w:pPr>
      <w:r>
        <w:t>C. Validate and interpret remotely sensed patterns</w:t>
      </w:r>
    </w:p>
    <w:p>
      <w:pPr>
        <w:pStyle w:val="ListBullet"/>
      </w:pPr>
      <w:r>
        <w:t>D. Increase flight altitude</w:t>
      </w:r>
    </w:p>
    <w:p>
      <w:r>
        <w:rPr>
          <w:b/>
        </w:rPr>
        <w:t>10. Which statement is scientifically strongest?</w:t>
      </w:r>
    </w:p>
    <w:p>
      <w:pPr>
        <w:pStyle w:val="ListBullet"/>
      </w:pPr>
      <w:r>
        <w:t>A. Imagery is objective and error-free</w:t>
      </w:r>
    </w:p>
    <w:p>
      <w:pPr>
        <w:pStyle w:val="ListBullet"/>
      </w:pPr>
      <w:r>
        <w:t>B. A visible pattern proves its cause</w:t>
      </w:r>
    </w:p>
    <w:p>
      <w:pPr>
        <w:pStyle w:val="ListBullet"/>
      </w:pPr>
      <w:r>
        <w:t>C. Remote sensing and field sampling often provide complementary evidence</w:t>
      </w:r>
    </w:p>
    <w:p>
      <w:pPr>
        <w:pStyle w:val="ListBullet"/>
      </w:pPr>
      <w:r>
        <w:t>D. Legal flight guarantees ethical practice</w:t>
      </w:r>
    </w:p>
    <w:p>
      <w:r>
        <w:rPr>
          <w:b/>
        </w:rPr>
        <w:t>11. In the Marshview dataset, why is Zone C not the priority vegetation-stress zone?</w:t>
      </w:r>
    </w:p>
    <w:p>
      <w:pPr>
        <w:pStyle w:val="ListBullet"/>
      </w:pPr>
      <w:r>
        <w:t>A. It has no samples</w:t>
      </w:r>
    </w:p>
    <w:p>
      <w:pPr>
        <w:pStyle w:val="ListBullet"/>
      </w:pPr>
      <w:r>
        <w:t>B. Negative NDVI is associated with mapped open water</w:t>
      </w:r>
    </w:p>
    <w:p>
      <w:pPr>
        <w:pStyle w:val="ListBullet"/>
      </w:pPr>
      <w:r>
        <w:t>C. It has the highest NDVI</w:t>
      </w:r>
    </w:p>
    <w:p>
      <w:pPr>
        <w:pStyle w:val="ListBullet"/>
      </w:pPr>
      <w:r>
        <w:t>D. It is outside the study area</w:t>
      </w:r>
    </w:p>
    <w:p>
      <w:r>
        <w:rPr>
          <w:b/>
        </w:rPr>
        <w:t>12. Before an optional real flight, which action is appropriate?</w:t>
      </w:r>
    </w:p>
    <w:p>
      <w:pPr>
        <w:pStyle w:val="ListBullet"/>
      </w:pPr>
      <w:r>
        <w:t>A. Assume school property is unrestricted</w:t>
      </w:r>
    </w:p>
    <w:p>
      <w:pPr>
        <w:pStyle w:val="ListBullet"/>
      </w:pPr>
      <w:r>
        <w:t>B. Check current FAA rules, airspace, permission, safety, privacy, and wildlife constraints</w:t>
      </w:r>
    </w:p>
    <w:p>
      <w:pPr>
        <w:pStyle w:val="ListBullet"/>
      </w:pPr>
      <w:r>
        <w:t>C. Fly first and document later</w:t>
      </w:r>
    </w:p>
    <w:p>
      <w:pPr>
        <w:pStyle w:val="ListBullet"/>
      </w:pPr>
      <w:r>
        <w:t>D. Use this worksheet as flight authorization</w:t>
      </w:r>
    </w:p>
    <w:p>
      <w:pPr>
        <w:pStyle w:val="Heading2"/>
      </w:pPr>
      <w:r>
        <w:t>Constructed response</w:t>
      </w:r>
    </w:p>
    <w:p>
      <w:pPr>
        <w:spacing w:before="100"/>
      </w:pPr>
      <w:r>
        <w:rPr>
          <w:b/>
        </w:rPr>
        <w:t>13. Calculate NDVI for Red = 0.24 and NIR = 0.56. Show work and interpret cautiously. (3 points)</w:t>
      </w:r>
    </w:p>
    <w:p>
      <w:pPr>
        <w:spacing w:after="80"/>
      </w:pPr>
      <w:r>
        <w:rPr>
          <w:color w:val="A8B0B5"/>
          <w:sz w:val="18"/>
        </w:rPr>
        <w:t>________________________________________________________________________________</w:t>
      </w:r>
    </w:p>
    <w:p>
      <w:pPr>
        <w:spacing w:after="80"/>
      </w:pPr>
      <w:r>
        <w:rPr>
          <w:color w:val="A8B0B5"/>
          <w:sz w:val="18"/>
        </w:rPr>
        <w:t>________________________________________________________________________________</w:t>
      </w:r>
    </w:p>
    <w:p>
      <w:pPr>
        <w:spacing w:after="80"/>
      </w:pPr>
      <w:r>
        <w:rPr>
          <w:color w:val="A8B0B5"/>
          <w:sz w:val="18"/>
        </w:rPr>
        <w:t>________________________________________________________________________________</w:t>
      </w:r>
    </w:p>
    <w:p>
      <w:pPr>
        <w:spacing w:before="100"/>
      </w:pPr>
      <w:r>
        <w:rPr>
          <w:b/>
        </w:rPr>
        <w:t>14. Explain the difference between what a multispectral sensor measures and what a scientist may infer about vegetation. (3 points)</w:t>
      </w:r>
    </w:p>
    <w:p>
      <w:pPr>
        <w:spacing w:after="80"/>
      </w:pPr>
      <w:r>
        <w:rPr>
          <w:color w:val="A8B0B5"/>
          <w:sz w:val="18"/>
        </w:rPr>
        <w:t>________________________________________________________________________________</w:t>
      </w:r>
    </w:p>
    <w:p>
      <w:pPr>
        <w:spacing w:after="80"/>
      </w:pPr>
      <w:r>
        <w:rPr>
          <w:color w:val="A8B0B5"/>
          <w:sz w:val="18"/>
        </w:rPr>
        <w:t>________________________________________________________________________________</w:t>
      </w:r>
    </w:p>
    <w:p>
      <w:pPr>
        <w:spacing w:after="80"/>
      </w:pPr>
      <w:r>
        <w:rPr>
          <w:color w:val="A8B0B5"/>
          <w:sz w:val="18"/>
        </w:rPr>
        <w:t>________________________________________________________________________________</w:t>
      </w:r>
    </w:p>
    <w:p>
      <w:pPr>
        <w:spacing w:before="100"/>
      </w:pPr>
      <w:r>
        <w:rPr>
          <w:b/>
        </w:rPr>
        <w:t>15. A team maps individual diseased trees using 30 m pixels. Explain the scale problem and one improvement. (3 points)</w:t>
      </w:r>
    </w:p>
    <w:p>
      <w:pPr>
        <w:spacing w:after="80"/>
      </w:pPr>
      <w:r>
        <w:rPr>
          <w:color w:val="A8B0B5"/>
          <w:sz w:val="18"/>
        </w:rPr>
        <w:t>________________________________________________________________________________</w:t>
      </w:r>
    </w:p>
    <w:p>
      <w:pPr>
        <w:spacing w:after="80"/>
      </w:pPr>
      <w:r>
        <w:rPr>
          <w:color w:val="A8B0B5"/>
          <w:sz w:val="18"/>
        </w:rPr>
        <w:t>________________________________________________________________________________</w:t>
      </w:r>
    </w:p>
    <w:p>
      <w:pPr>
        <w:spacing w:after="80"/>
      </w:pPr>
      <w:r>
        <w:rPr>
          <w:color w:val="A8B0B5"/>
          <w:sz w:val="18"/>
        </w:rPr>
        <w:t>________________________________________________________________________________</w:t>
      </w:r>
    </w:p>
    <w:p>
      <w:pPr>
        <w:spacing w:before="100"/>
      </w:pPr>
      <w:r>
        <w:rPr>
          <w:b/>
        </w:rPr>
        <w:t>16. Name two photogrammetry quality factors and explain how each affects the output. (3 points)</w:t>
      </w:r>
    </w:p>
    <w:p>
      <w:pPr>
        <w:spacing w:after="80"/>
      </w:pPr>
      <w:r>
        <w:rPr>
          <w:color w:val="A8B0B5"/>
          <w:sz w:val="18"/>
        </w:rPr>
        <w:t>________________________________________________________________________________</w:t>
      </w:r>
    </w:p>
    <w:p>
      <w:pPr>
        <w:spacing w:after="80"/>
      </w:pPr>
      <w:r>
        <w:rPr>
          <w:color w:val="A8B0B5"/>
          <w:sz w:val="18"/>
        </w:rPr>
        <w:t>________________________________________________________________________________</w:t>
      </w:r>
    </w:p>
    <w:p>
      <w:pPr>
        <w:spacing w:after="80"/>
      </w:pPr>
      <w:r>
        <w:rPr>
          <w:color w:val="A8B0B5"/>
          <w:sz w:val="18"/>
        </w:rPr>
        <w:t>________________________________________________________________________________</w:t>
      </w:r>
    </w:p>
    <w:p>
      <w:pPr>
        <w:spacing w:after="80"/>
      </w:pPr>
      <w:r>
        <w:rPr>
          <w:color w:val="A8B0B5"/>
          <w:sz w:val="18"/>
        </w:rPr>
        <w:t>________________________________________________________________________________</w:t>
      </w:r>
    </w:p>
    <w:p>
      <w:pPr>
        <w:spacing w:before="100"/>
      </w:pPr>
      <w:r>
        <w:rPr>
          <w:b/>
        </w:rPr>
        <w:t>17. Give one privacy or wildlife concern and one practical mitigation. (2 points)</w:t>
      </w:r>
    </w:p>
    <w:p>
      <w:pPr>
        <w:spacing w:after="80"/>
      </w:pPr>
      <w:r>
        <w:rPr>
          <w:color w:val="A8B0B5"/>
          <w:sz w:val="18"/>
        </w:rPr>
        <w:t>________________________________________________________________________________</w:t>
      </w:r>
    </w:p>
    <w:p>
      <w:pPr>
        <w:spacing w:after="80"/>
      </w:pPr>
      <w:r>
        <w:rPr>
          <w:color w:val="A8B0B5"/>
          <w:sz w:val="18"/>
        </w:rPr>
        <w:t>________________________________________________________________________________</w:t>
      </w:r>
    </w:p>
    <w:p>
      <w:pPr>
        <w:spacing w:after="80"/>
      </w:pPr>
      <w:r>
        <w:rPr>
          <w:color w:val="A8B0B5"/>
          <w:sz w:val="18"/>
        </w:rPr>
        <w:t>________________________________________________________________________________</w:t>
      </w:r>
    </w:p>
    <w:p>
      <w:pPr>
        <w:spacing w:before="100"/>
      </w:pPr>
      <w:r>
        <w:rPr>
          <w:b/>
        </w:rPr>
        <w:t>18. Marshview Zone B has NDVI values 0.19-0.34 and patchy/discolored vegetation notes. Write a claim, cite two pieces of evidence, state one uncertainty, and recommend one next step. (4 points)</w:t>
      </w:r>
    </w:p>
    <w:p>
      <w:pPr>
        <w:spacing w:after="80"/>
      </w:pPr>
      <w:r>
        <w:rPr>
          <w:color w:val="A8B0B5"/>
          <w:sz w:val="18"/>
        </w:rPr>
        <w:t>________________________________________________________________________________</w:t>
      </w:r>
    </w:p>
    <w:p>
      <w:pPr>
        <w:spacing w:after="80"/>
      </w:pPr>
      <w:r>
        <w:rPr>
          <w:color w:val="A8B0B5"/>
          <w:sz w:val="18"/>
        </w:rPr>
        <w:t>________________________________________________________________________________</w:t>
      </w:r>
    </w:p>
    <w:p>
      <w:pPr>
        <w:spacing w:after="80"/>
      </w:pPr>
      <w:r>
        <w:rPr>
          <w:color w:val="A8B0B5"/>
          <w:sz w:val="18"/>
        </w:rPr>
        <w:t>________________________________________________________________________________</w:t>
      </w:r>
    </w:p>
    <w:p>
      <w:pPr>
        <w:spacing w:after="80"/>
      </w:pPr>
      <w:r>
        <w:rPr>
          <w:color w:val="A8B0B5"/>
          <w:sz w:val="18"/>
        </w:rPr>
        <w:t>________________________________________________________________________________</w:t>
      </w:r>
    </w:p>
    <w:p>
      <w:pPr>
        <w:spacing w:after="80"/>
      </w:pPr>
      <w:r>
        <w:rPr>
          <w:color w:val="A8B0B5"/>
          <w:sz w:val="18"/>
        </w:rPr>
        <w:t>________________________________________________________________________________</w:t>
      </w:r>
    </w:p>
    <w:p>
      <w:r>
        <w:br w:type="page"/>
      </w:r>
    </w:p>
    <w:p>
      <w:pPr>
        <w:pStyle w:val="Heading1"/>
      </w:pPr>
      <w:r>
        <w:t>Individual assessment answer key</w:t>
      </w:r>
    </w:p>
    <w:p>
      <w:r>
        <w:t>Selected response (1 point each): 1-B, 2-A, 3-C, 4-B, 5-B, 6-C, 7-A, 8-B, 9-C, 10-C, 11-B, 12-B.</w:t>
      </w:r>
    </w:p>
    <w:tbl>
      <w:tblPr>
        <w:tblW w:type="dxa" w:w="9360"/>
        <w:jc w:val="center"/>
        <w:tblLayout w:type="fixed"/>
        <w:tblLook w:firstColumn="1" w:firstRow="1" w:lastColumn="0" w:lastRow="0" w:noHBand="0" w:noVBand="1" w:val="04A0"/>
        <w:tblInd w:w="120" w:type="dxa"/>
        <w:tblBorders>
          <w:top w:val="single" w:sz="6" w:color="CBD5D9"/>
          <w:left w:val="single" w:sz="6" w:color="CBD5D9"/>
          <w:bottom w:val="single" w:sz="6" w:color="CBD5D9"/>
          <w:right w:val="single" w:sz="6" w:color="CBD5D9"/>
          <w:insideH w:val="single" w:sz="6" w:color="CBD5D9"/>
          <w:insideV w:val="single" w:sz="6" w:color="CBD5D9"/>
        </w:tblBorders>
      </w:tblPr>
      <w:tblGrid>
        <w:gridCol w:w="1008"/>
        <w:gridCol w:w="8352"/>
      </w:tblGrid>
      <w:tr>
        <w:trPr>
          <w:tblHeader w:val="true"/>
        </w:trPr>
        <w:tc>
          <w:tcPr>
            <w:tcW w:type="dxa" w:w="1008"/>
            <w:tcMar>
              <w:top w:w="100" w:type="dxa"/>
              <w:start w:w="120" w:type="dxa"/>
              <w:bottom w:w="100" w:type="dxa"/>
              <w:end w:w="120" w:type="dxa"/>
            </w:tcMar>
            <w:vAlign w:val="center"/>
            <w:shd w:fill="17324D"/>
          </w:tcPr>
          <w:p>
            <w:pPr>
              <w:jc w:val="center"/>
            </w:pPr>
            <w:r>
              <w:rPr>
                <w:b/>
                <w:color w:val="FFFFFF"/>
                <w:sz w:val="17"/>
              </w:rPr>
              <w:t>Item</w:t>
            </w:r>
          </w:p>
        </w:tc>
        <w:tc>
          <w:tcPr>
            <w:tcW w:type="dxa" w:w="8352"/>
            <w:tcMar>
              <w:top w:w="100" w:type="dxa"/>
              <w:start w:w="120" w:type="dxa"/>
              <w:bottom w:w="100" w:type="dxa"/>
              <w:end w:w="120" w:type="dxa"/>
            </w:tcMar>
            <w:vAlign w:val="center"/>
            <w:shd w:fill="17324D"/>
          </w:tcPr>
          <w:p>
            <w:pPr>
              <w:jc w:val="center"/>
            </w:pPr>
            <w:r>
              <w:rPr>
                <w:b/>
                <w:color w:val="FFFFFF"/>
                <w:sz w:val="17"/>
              </w:rPr>
              <w:t>Scoring guidance</w:t>
            </w:r>
          </w:p>
        </w:tc>
      </w:tr>
      <w:tr>
        <w:tc>
          <w:tcPr>
            <w:tcW w:type="dxa" w:w="1008"/>
          </w:tcPr>
          <w:p>
            <w:pPr>
              <w:jc w:val="center"/>
            </w:pPr>
            <w:r>
              <w:rPr>
                <w:sz w:val="17"/>
              </w:rPr>
              <w:t>13</w:t>
            </w:r>
          </w:p>
        </w:tc>
        <w:tc>
          <w:tcPr>
            <w:tcW w:type="dxa" w:w="8352"/>
          </w:tcPr>
          <w:p>
            <w:pPr>
              <w:jc w:val="left"/>
            </w:pPr>
            <w:r>
              <w:rPr>
                <w:sz w:val="17"/>
              </w:rPr>
              <w:t>NDVI = (0.56 - 0.24)/(0.56 + 0.24) = 0.32/0.80 = 0.40 (2); interpretation identifies a positive vegetation signal but avoids diagnosis (1).</w:t>
            </w:r>
          </w:p>
        </w:tc>
      </w:tr>
      <w:tr>
        <w:tc>
          <w:tcPr>
            <w:tcW w:type="dxa" w:w="1008"/>
            <w:shd w:fill="F8FAFA"/>
          </w:tcPr>
          <w:p>
            <w:pPr>
              <w:jc w:val="center"/>
            </w:pPr>
            <w:r>
              <w:rPr>
                <w:sz w:val="17"/>
              </w:rPr>
              <w:t>14</w:t>
            </w:r>
          </w:p>
        </w:tc>
        <w:tc>
          <w:tcPr>
            <w:tcW w:type="dxa" w:w="8352"/>
            <w:shd w:fill="F8FAFA"/>
          </w:tcPr>
          <w:p>
            <w:pPr>
              <w:jc w:val="left"/>
            </w:pPr>
            <w:r>
              <w:rPr>
                <w:sz w:val="17"/>
              </w:rPr>
              <w:t>Sensor records reflected energy in bands (1); scientist infers vegetation condition/pattern (1); interpretation requires context/validation (1).</w:t>
            </w:r>
          </w:p>
        </w:tc>
      </w:tr>
      <w:tr>
        <w:tc>
          <w:tcPr>
            <w:tcW w:type="dxa" w:w="1008"/>
          </w:tcPr>
          <w:p>
            <w:pPr>
              <w:jc w:val="center"/>
            </w:pPr>
            <w:r>
              <w:rPr>
                <w:sz w:val="17"/>
              </w:rPr>
              <w:t>15</w:t>
            </w:r>
          </w:p>
        </w:tc>
        <w:tc>
          <w:tcPr>
            <w:tcW w:type="dxa" w:w="8352"/>
          </w:tcPr>
          <w:p>
            <w:pPr>
              <w:jc w:val="left"/>
            </w:pPr>
            <w:r>
              <w:rPr>
                <w:sz w:val="17"/>
              </w:rPr>
              <w:t>30 m pixels mix multiple trees/background and cannot reliably resolve individuals (2); use finer imagery and field validation (1).</w:t>
            </w:r>
          </w:p>
        </w:tc>
      </w:tr>
      <w:tr>
        <w:tc>
          <w:tcPr>
            <w:tcW w:type="dxa" w:w="1008"/>
            <w:shd w:fill="F8FAFA"/>
          </w:tcPr>
          <w:p>
            <w:pPr>
              <w:jc w:val="center"/>
            </w:pPr>
            <w:r>
              <w:rPr>
                <w:sz w:val="17"/>
              </w:rPr>
              <w:t>16</w:t>
            </w:r>
          </w:p>
        </w:tc>
        <w:tc>
          <w:tcPr>
            <w:tcW w:type="dxa" w:w="8352"/>
            <w:shd w:fill="F8FAFA"/>
          </w:tcPr>
          <w:p>
            <w:pPr>
              <w:jc w:val="left"/>
            </w:pPr>
            <w:r>
              <w:rPr>
                <w:sz w:val="17"/>
              </w:rPr>
              <w:t>One point each for two valid factor-effect pairs, e.g., overlap -&gt; feature matching; control/RTK -&gt; positional accuracy; motion/lighting -&gt; blur or seam/calibration error. Maximum 3.</w:t>
            </w:r>
          </w:p>
        </w:tc>
      </w:tr>
      <w:tr>
        <w:tc>
          <w:tcPr>
            <w:tcW w:type="dxa" w:w="1008"/>
          </w:tcPr>
          <w:p>
            <w:pPr>
              <w:jc w:val="center"/>
            </w:pPr>
            <w:r>
              <w:rPr>
                <w:sz w:val="17"/>
              </w:rPr>
              <w:t>17</w:t>
            </w:r>
          </w:p>
        </w:tc>
        <w:tc>
          <w:tcPr>
            <w:tcW w:type="dxa" w:w="8352"/>
          </w:tcPr>
          <w:p>
            <w:pPr>
              <w:jc w:val="left"/>
            </w:pPr>
            <w:r>
              <w:rPr>
                <w:sz w:val="17"/>
              </w:rPr>
              <w:t>Valid concern (1) and feasible mitigation (1), e.g., nesting disturbance -&gt; buffers/timing/stop criteria; backyard imagery -&gt; minimize collection/access/retention.</w:t>
            </w:r>
          </w:p>
        </w:tc>
      </w:tr>
      <w:tr>
        <w:tc>
          <w:tcPr>
            <w:tcW w:type="dxa" w:w="1008"/>
            <w:shd w:fill="F8FAFA"/>
          </w:tcPr>
          <w:p>
            <w:pPr>
              <w:jc w:val="center"/>
            </w:pPr>
            <w:r>
              <w:rPr>
                <w:sz w:val="17"/>
              </w:rPr>
              <w:t>18</w:t>
            </w:r>
          </w:p>
        </w:tc>
        <w:tc>
          <w:tcPr>
            <w:tcW w:type="dxa" w:w="8352"/>
            <w:shd w:fill="F8FAFA"/>
          </w:tcPr>
          <w:p>
            <w:pPr>
              <w:jc w:val="left"/>
            </w:pPr>
            <w:r>
              <w:rPr>
                <w:sz w:val="17"/>
              </w:rPr>
              <w:t>Zone B claim (1); two relevant pieces of evidence (1); uncertainty/alternative cause (1); targeted ground sampling or proportional next step (1).</w:t>
            </w:r>
          </w:p>
        </w:tc>
      </w:tr>
    </w:tbl>
    <w:p>
      <w:pPr>
        <w:spacing w:after="0"/>
      </w:pPr>
    </w:p>
    <w:p>
      <w:r>
        <w:br w:type="page"/>
      </w:r>
    </w:p>
    <w:p>
      <w:pPr>
        <w:pStyle w:val="Heading1"/>
      </w:pPr>
      <w:r>
        <w:t>Capstone assignment</w:t>
      </w:r>
    </w:p>
    <w:p>
      <w:r>
        <w:t>Role: environmental consulting team. Client: Marshview Wetland Preserve. Task: identify the zone needing priority investigation and recommend an evidence-proportionate response.</w:t>
      </w:r>
    </w:p>
    <w:p>
      <w:pPr>
        <w:pStyle w:val="Heading2"/>
      </w:pPr>
      <w:r>
        <w:t>Required product</w:t>
      </w:r>
    </w:p>
    <w:p>
      <w:pPr>
        <w:pStyle w:val="ListBullet"/>
      </w:pPr>
      <w:r>
        <w:t>4-6 page scientific assessment, or</w:t>
      </w:r>
    </w:p>
    <w:p>
      <w:pPr>
        <w:pStyle w:val="ListBullet"/>
      </w:pPr>
      <w:r>
        <w:t>8-10 slide briefing with equivalent speaker notes, or</w:t>
      </w:r>
    </w:p>
    <w:p>
      <w:pPr>
        <w:pStyle w:val="ListBullet"/>
      </w:pPr>
      <w:r>
        <w:t>5-7 minute oral/narrated briefing with an accessible evidence handout.</w:t>
      </w:r>
    </w:p>
    <w:p>
      <w:pPr>
        <w:pStyle w:val="Heading2"/>
      </w:pPr>
      <w:r>
        <w:t>Required elements</w:t>
      </w:r>
    </w:p>
    <w:p>
      <w:pPr>
        <w:pStyle w:val="ListBullet"/>
      </w:pPr>
      <w:r>
        <w:t>Environmental problem and focused research question</w:t>
      </w:r>
    </w:p>
    <w:p>
      <w:pPr>
        <w:pStyle w:val="ListBullet"/>
      </w:pPr>
      <w:r>
        <w:t>Sensor/data explanation</w:t>
      </w:r>
    </w:p>
    <w:p>
      <w:pPr>
        <w:pStyle w:val="ListBullet"/>
      </w:pPr>
      <w:r>
        <w:t>Map and table analysis</w:t>
      </w:r>
    </w:p>
    <w:p>
      <w:pPr>
        <w:pStyle w:val="ListBullet"/>
      </w:pPr>
      <w:r>
        <w:t>At least one quantitative observation</w:t>
      </w:r>
    </w:p>
    <w:p>
      <w:pPr>
        <w:pStyle w:val="ListBullet"/>
      </w:pPr>
      <w:r>
        <w:t>Environmental interpretation</w:t>
      </w:r>
    </w:p>
    <w:p>
      <w:pPr>
        <w:pStyle w:val="ListBullet"/>
      </w:pPr>
      <w:r>
        <w:t>Alternative explanation</w:t>
      </w:r>
    </w:p>
    <w:p>
      <w:pPr>
        <w:pStyle w:val="ListBullet"/>
      </w:pPr>
      <w:r>
        <w:t>Limitations and uncertainty</w:t>
      </w:r>
    </w:p>
    <w:p>
      <w:pPr>
        <w:pStyle w:val="ListBullet"/>
      </w:pPr>
      <w:r>
        <w:t>Additional data and sampling plan</w:t>
      </w:r>
    </w:p>
    <w:p>
      <w:pPr>
        <w:pStyle w:val="ListBullet"/>
      </w:pPr>
      <w:r>
        <w:t>Management recommendation</w:t>
      </w:r>
    </w:p>
    <w:p>
      <w:pPr>
        <w:pStyle w:val="ListBullet"/>
      </w:pPr>
      <w:r>
        <w:t>Clear source and figure attribution</w:t>
      </w:r>
    </w:p>
    <w:p>
      <w:pPr>
        <w:pStyle w:val="Heading1"/>
      </w:pPr>
      <w:r>
        <w:t>100-point analytic rubric</w:t>
      </w:r>
    </w:p>
    <w:tbl>
      <w:tblPr>
        <w:tblW w:type="dxa" w:w="9360"/>
        <w:jc w:val="center"/>
        <w:tblLayout w:type="fixed"/>
        <w:tblLook w:firstColumn="1" w:firstRow="1" w:lastColumn="0" w:lastRow="0" w:noHBand="0" w:noVBand="1" w:val="04A0"/>
        <w:tblInd w:w="120" w:type="dxa"/>
        <w:tblBorders>
          <w:top w:val="single" w:sz="6" w:color="CBD5D9"/>
          <w:left w:val="single" w:sz="6" w:color="CBD5D9"/>
          <w:bottom w:val="single" w:sz="6" w:color="CBD5D9"/>
          <w:right w:val="single" w:sz="6" w:color="CBD5D9"/>
          <w:insideH w:val="single" w:sz="6" w:color="CBD5D9"/>
          <w:insideV w:val="single" w:sz="6" w:color="CBD5D9"/>
        </w:tblBorders>
      </w:tblPr>
      <w:tblGrid>
        <w:gridCol w:w="1800"/>
        <w:gridCol w:w="605"/>
        <w:gridCol w:w="1987"/>
        <w:gridCol w:w="1800"/>
        <w:gridCol w:w="1656"/>
        <w:gridCol w:w="1512"/>
      </w:tblGrid>
      <w:tr>
        <w:trPr>
          <w:tblHeader w:val="true"/>
        </w:trPr>
        <w:tc>
          <w:tcPr>
            <w:tcW w:type="dxa" w:w="1800"/>
            <w:tcMar>
              <w:top w:w="100" w:type="dxa"/>
              <w:start w:w="120" w:type="dxa"/>
              <w:bottom w:w="100" w:type="dxa"/>
              <w:end w:w="120" w:type="dxa"/>
            </w:tcMar>
            <w:vAlign w:val="center"/>
            <w:shd w:fill="17324D"/>
          </w:tcPr>
          <w:p>
            <w:pPr>
              <w:jc w:val="center"/>
            </w:pPr>
            <w:r>
              <w:rPr>
                <w:b/>
                <w:color w:val="FFFFFF"/>
                <w:sz w:val="14"/>
              </w:rPr>
              <w:t>Criterion</w:t>
            </w:r>
          </w:p>
        </w:tc>
        <w:tc>
          <w:tcPr>
            <w:tcW w:type="dxa" w:w="605"/>
            <w:tcMar>
              <w:top w:w="100" w:type="dxa"/>
              <w:start w:w="120" w:type="dxa"/>
              <w:bottom w:w="100" w:type="dxa"/>
              <w:end w:w="120" w:type="dxa"/>
            </w:tcMar>
            <w:vAlign w:val="center"/>
            <w:shd w:fill="17324D"/>
          </w:tcPr>
          <w:p>
            <w:pPr>
              <w:jc w:val="center"/>
            </w:pPr>
            <w:r>
              <w:rPr>
                <w:b/>
                <w:color w:val="FFFFFF"/>
                <w:sz w:val="14"/>
              </w:rPr>
              <w:t>Pts</w:t>
            </w:r>
          </w:p>
        </w:tc>
        <w:tc>
          <w:tcPr>
            <w:tcW w:type="dxa" w:w="1987"/>
            <w:tcMar>
              <w:top w:w="100" w:type="dxa"/>
              <w:start w:w="120" w:type="dxa"/>
              <w:bottom w:w="100" w:type="dxa"/>
              <w:end w:w="120" w:type="dxa"/>
            </w:tcMar>
            <w:vAlign w:val="center"/>
            <w:shd w:fill="17324D"/>
          </w:tcPr>
          <w:p>
            <w:pPr>
              <w:jc w:val="center"/>
            </w:pPr>
            <w:r>
              <w:rPr>
                <w:b/>
                <w:color w:val="FFFFFF"/>
                <w:sz w:val="14"/>
              </w:rPr>
              <w:t>Exemplary</w:t>
            </w:r>
          </w:p>
        </w:tc>
        <w:tc>
          <w:tcPr>
            <w:tcW w:type="dxa" w:w="1800"/>
            <w:tcMar>
              <w:top w:w="100" w:type="dxa"/>
              <w:start w:w="120" w:type="dxa"/>
              <w:bottom w:w="100" w:type="dxa"/>
              <w:end w:w="120" w:type="dxa"/>
            </w:tcMar>
            <w:vAlign w:val="center"/>
            <w:shd w:fill="17324D"/>
          </w:tcPr>
          <w:p>
            <w:pPr>
              <w:jc w:val="center"/>
            </w:pPr>
            <w:r>
              <w:rPr>
                <w:b/>
                <w:color w:val="FFFFFF"/>
                <w:sz w:val="14"/>
              </w:rPr>
              <w:t>Proficient</w:t>
            </w:r>
          </w:p>
        </w:tc>
        <w:tc>
          <w:tcPr>
            <w:tcW w:type="dxa" w:w="1656"/>
            <w:tcMar>
              <w:top w:w="100" w:type="dxa"/>
              <w:start w:w="120" w:type="dxa"/>
              <w:bottom w:w="100" w:type="dxa"/>
              <w:end w:w="120" w:type="dxa"/>
            </w:tcMar>
            <w:vAlign w:val="center"/>
            <w:shd w:fill="17324D"/>
          </w:tcPr>
          <w:p>
            <w:pPr>
              <w:jc w:val="center"/>
            </w:pPr>
            <w:r>
              <w:rPr>
                <w:b/>
                <w:color w:val="FFFFFF"/>
                <w:sz w:val="14"/>
              </w:rPr>
              <w:t>Developing</w:t>
            </w:r>
          </w:p>
        </w:tc>
        <w:tc>
          <w:tcPr>
            <w:tcW w:type="dxa" w:w="1512"/>
            <w:tcMar>
              <w:top w:w="100" w:type="dxa"/>
              <w:start w:w="120" w:type="dxa"/>
              <w:bottom w:w="100" w:type="dxa"/>
              <w:end w:w="120" w:type="dxa"/>
            </w:tcMar>
            <w:vAlign w:val="center"/>
            <w:shd w:fill="17324D"/>
          </w:tcPr>
          <w:p>
            <w:pPr>
              <w:jc w:val="center"/>
            </w:pPr>
            <w:r>
              <w:rPr>
                <w:b/>
                <w:color w:val="FFFFFF"/>
                <w:sz w:val="14"/>
              </w:rPr>
              <w:t>Beginning</w:t>
            </w:r>
          </w:p>
        </w:tc>
      </w:tr>
      <w:tr>
        <w:tc>
          <w:tcPr>
            <w:tcW w:type="dxa" w:w="1800"/>
          </w:tcPr>
          <w:p>
            <w:pPr>
              <w:jc w:val="left"/>
            </w:pPr>
            <w:r>
              <w:rPr>
                <w:sz w:val="14"/>
              </w:rPr>
              <w:t>Problem and question</w:t>
            </w:r>
          </w:p>
        </w:tc>
        <w:tc>
          <w:tcPr>
            <w:tcW w:type="dxa" w:w="605"/>
          </w:tcPr>
          <w:p>
            <w:pPr>
              <w:jc w:val="center"/>
            </w:pPr>
            <w:r>
              <w:rPr>
                <w:sz w:val="14"/>
              </w:rPr>
              <w:t>10</w:t>
            </w:r>
          </w:p>
        </w:tc>
        <w:tc>
          <w:tcPr>
            <w:tcW w:type="dxa" w:w="1987"/>
          </w:tcPr>
          <w:p>
            <w:pPr>
              <w:jc w:val="left"/>
            </w:pPr>
            <w:r>
              <w:rPr>
                <w:sz w:val="14"/>
              </w:rPr>
              <w:t>Precise, decision-relevant question</w:t>
            </w:r>
          </w:p>
        </w:tc>
        <w:tc>
          <w:tcPr>
            <w:tcW w:type="dxa" w:w="1800"/>
          </w:tcPr>
          <w:p>
            <w:pPr>
              <w:jc w:val="left"/>
            </w:pPr>
            <w:r>
              <w:rPr>
                <w:sz w:val="14"/>
              </w:rPr>
              <w:t>Clear question with minor gap</w:t>
            </w:r>
          </w:p>
        </w:tc>
        <w:tc>
          <w:tcPr>
            <w:tcW w:type="dxa" w:w="1656"/>
          </w:tcPr>
          <w:p>
            <w:pPr>
              <w:jc w:val="left"/>
            </w:pPr>
            <w:r>
              <w:rPr>
                <w:sz w:val="14"/>
              </w:rPr>
              <w:t>Broad or partly measurable</w:t>
            </w:r>
          </w:p>
        </w:tc>
        <w:tc>
          <w:tcPr>
            <w:tcW w:type="dxa" w:w="1512"/>
          </w:tcPr>
          <w:p>
            <w:pPr>
              <w:jc w:val="left"/>
            </w:pPr>
            <w:r>
              <w:rPr>
                <w:sz w:val="14"/>
              </w:rPr>
              <w:t>Missing or inaccurate</w:t>
            </w:r>
          </w:p>
        </w:tc>
      </w:tr>
      <w:tr>
        <w:tc>
          <w:tcPr>
            <w:tcW w:type="dxa" w:w="1800"/>
            <w:shd w:fill="F8FAFA"/>
          </w:tcPr>
          <w:p>
            <w:pPr>
              <w:jc w:val="left"/>
            </w:pPr>
            <w:r>
              <w:rPr>
                <w:sz w:val="14"/>
              </w:rPr>
              <w:t>Sensor/data logic</w:t>
            </w:r>
          </w:p>
        </w:tc>
        <w:tc>
          <w:tcPr>
            <w:tcW w:type="dxa" w:w="605"/>
            <w:shd w:fill="F8FAFA"/>
          </w:tcPr>
          <w:p>
            <w:pPr>
              <w:jc w:val="center"/>
            </w:pPr>
            <w:r>
              <w:rPr>
                <w:sz w:val="14"/>
              </w:rPr>
              <w:t>15</w:t>
            </w:r>
          </w:p>
        </w:tc>
        <w:tc>
          <w:tcPr>
            <w:tcW w:type="dxa" w:w="1987"/>
            <w:shd w:fill="F8FAFA"/>
          </w:tcPr>
          <w:p>
            <w:pPr>
              <w:jc w:val="left"/>
            </w:pPr>
            <w:r>
              <w:rPr>
                <w:sz w:val="14"/>
              </w:rPr>
              <w:t>Correctly links measurement, product, and inference</w:t>
            </w:r>
          </w:p>
        </w:tc>
        <w:tc>
          <w:tcPr>
            <w:tcW w:type="dxa" w:w="1800"/>
            <w:shd w:fill="F8FAFA"/>
          </w:tcPr>
          <w:p>
            <w:pPr>
              <w:jc w:val="left"/>
            </w:pPr>
            <w:r>
              <w:rPr>
                <w:sz w:val="14"/>
              </w:rPr>
              <w:t>Mostly correct with minor omission</w:t>
            </w:r>
          </w:p>
        </w:tc>
        <w:tc>
          <w:tcPr>
            <w:tcW w:type="dxa" w:w="1656"/>
            <w:shd w:fill="F8FAFA"/>
          </w:tcPr>
          <w:p>
            <w:pPr>
              <w:jc w:val="left"/>
            </w:pPr>
            <w:r>
              <w:rPr>
                <w:sz w:val="14"/>
              </w:rPr>
              <w:t>Names tools but weak logic</w:t>
            </w:r>
          </w:p>
        </w:tc>
        <w:tc>
          <w:tcPr>
            <w:tcW w:type="dxa" w:w="1512"/>
            <w:shd w:fill="F8FAFA"/>
          </w:tcPr>
          <w:p>
            <w:pPr>
              <w:jc w:val="left"/>
            </w:pPr>
            <w:r>
              <w:rPr>
                <w:sz w:val="14"/>
              </w:rPr>
              <w:t>Major errors or unsupported choice</w:t>
            </w:r>
          </w:p>
        </w:tc>
      </w:tr>
      <w:tr>
        <w:tc>
          <w:tcPr>
            <w:tcW w:type="dxa" w:w="1800"/>
          </w:tcPr>
          <w:p>
            <w:pPr>
              <w:jc w:val="left"/>
            </w:pPr>
            <w:r>
              <w:rPr>
                <w:sz w:val="14"/>
              </w:rPr>
              <w:t>Data analysis</w:t>
            </w:r>
          </w:p>
        </w:tc>
        <w:tc>
          <w:tcPr>
            <w:tcW w:type="dxa" w:w="605"/>
          </w:tcPr>
          <w:p>
            <w:pPr>
              <w:jc w:val="center"/>
            </w:pPr>
            <w:r>
              <w:rPr>
                <w:sz w:val="14"/>
              </w:rPr>
              <w:t>20</w:t>
            </w:r>
          </w:p>
        </w:tc>
        <w:tc>
          <w:tcPr>
            <w:tcW w:type="dxa" w:w="1987"/>
          </w:tcPr>
          <w:p>
            <w:pPr>
              <w:jc w:val="left"/>
            </w:pPr>
            <w:r>
              <w:rPr>
                <w:sz w:val="14"/>
              </w:rPr>
              <w:t>Integrates map, table, pattern, and calculations accurately</w:t>
            </w:r>
          </w:p>
        </w:tc>
        <w:tc>
          <w:tcPr>
            <w:tcW w:type="dxa" w:w="1800"/>
          </w:tcPr>
          <w:p>
            <w:pPr>
              <w:jc w:val="left"/>
            </w:pPr>
            <w:r>
              <w:rPr>
                <w:sz w:val="14"/>
              </w:rPr>
              <w:t>Uses relevant evidence with minor omission</w:t>
            </w:r>
          </w:p>
        </w:tc>
        <w:tc>
          <w:tcPr>
            <w:tcW w:type="dxa" w:w="1656"/>
          </w:tcPr>
          <w:p>
            <w:pPr>
              <w:jc w:val="left"/>
            </w:pPr>
            <w:r>
              <w:rPr>
                <w:sz w:val="14"/>
              </w:rPr>
              <w:t>Partial evidence or calculation errors</w:t>
            </w:r>
          </w:p>
        </w:tc>
        <w:tc>
          <w:tcPr>
            <w:tcW w:type="dxa" w:w="1512"/>
          </w:tcPr>
          <w:p>
            <w:pPr>
              <w:jc w:val="left"/>
            </w:pPr>
            <w:r>
              <w:rPr>
                <w:sz w:val="14"/>
              </w:rPr>
              <w:t>Minimal or incorrect analysis</w:t>
            </w:r>
          </w:p>
        </w:tc>
      </w:tr>
      <w:tr>
        <w:tc>
          <w:tcPr>
            <w:tcW w:type="dxa" w:w="1800"/>
            <w:shd w:fill="F8FAFA"/>
          </w:tcPr>
          <w:p>
            <w:pPr>
              <w:jc w:val="left"/>
            </w:pPr>
            <w:r>
              <w:rPr>
                <w:sz w:val="14"/>
              </w:rPr>
              <w:t>Environmental interpretation</w:t>
            </w:r>
          </w:p>
        </w:tc>
        <w:tc>
          <w:tcPr>
            <w:tcW w:type="dxa" w:w="605"/>
            <w:shd w:fill="F8FAFA"/>
          </w:tcPr>
          <w:p>
            <w:pPr>
              <w:jc w:val="center"/>
            </w:pPr>
            <w:r>
              <w:rPr>
                <w:sz w:val="14"/>
              </w:rPr>
              <w:t>15</w:t>
            </w:r>
          </w:p>
        </w:tc>
        <w:tc>
          <w:tcPr>
            <w:tcW w:type="dxa" w:w="1987"/>
            <w:shd w:fill="F8FAFA"/>
          </w:tcPr>
          <w:p>
            <w:pPr>
              <w:jc w:val="left"/>
            </w:pPr>
            <w:r>
              <w:rPr>
                <w:sz w:val="14"/>
              </w:rPr>
              <w:t>Calibrated inference with plausible alternatives</w:t>
            </w:r>
          </w:p>
        </w:tc>
        <w:tc>
          <w:tcPr>
            <w:tcW w:type="dxa" w:w="1800"/>
            <w:shd w:fill="F8FAFA"/>
          </w:tcPr>
          <w:p>
            <w:pPr>
              <w:jc w:val="left"/>
            </w:pPr>
            <w:r>
              <w:rPr>
                <w:sz w:val="14"/>
              </w:rPr>
              <w:t>Sound interpretation with some qualification</w:t>
            </w:r>
          </w:p>
        </w:tc>
        <w:tc>
          <w:tcPr>
            <w:tcW w:type="dxa" w:w="1656"/>
            <w:shd w:fill="F8FAFA"/>
          </w:tcPr>
          <w:p>
            <w:pPr>
              <w:jc w:val="left"/>
            </w:pPr>
            <w:r>
              <w:rPr>
                <w:sz w:val="14"/>
              </w:rPr>
              <w:t>Overgeneralized or weakly connected</w:t>
            </w:r>
          </w:p>
        </w:tc>
        <w:tc>
          <w:tcPr>
            <w:tcW w:type="dxa" w:w="1512"/>
            <w:shd w:fill="F8FAFA"/>
          </w:tcPr>
          <w:p>
            <w:pPr>
              <w:jc w:val="left"/>
            </w:pPr>
            <w:r>
              <w:rPr>
                <w:sz w:val="14"/>
              </w:rPr>
              <w:t>Unsupported causal claim</w:t>
            </w:r>
          </w:p>
        </w:tc>
      </w:tr>
      <w:tr>
        <w:tc>
          <w:tcPr>
            <w:tcW w:type="dxa" w:w="1800"/>
          </w:tcPr>
          <w:p>
            <w:pPr>
              <w:jc w:val="left"/>
            </w:pPr>
            <w:r>
              <w:rPr>
                <w:sz w:val="14"/>
              </w:rPr>
              <w:t>Quantitative support</w:t>
            </w:r>
          </w:p>
        </w:tc>
        <w:tc>
          <w:tcPr>
            <w:tcW w:type="dxa" w:w="605"/>
          </w:tcPr>
          <w:p>
            <w:pPr>
              <w:jc w:val="center"/>
            </w:pPr>
            <w:r>
              <w:rPr>
                <w:sz w:val="14"/>
              </w:rPr>
              <w:t>10</w:t>
            </w:r>
          </w:p>
        </w:tc>
        <w:tc>
          <w:tcPr>
            <w:tcW w:type="dxa" w:w="1987"/>
          </w:tcPr>
          <w:p>
            <w:pPr>
              <w:jc w:val="left"/>
            </w:pPr>
            <w:r>
              <w:rPr>
                <w:sz w:val="14"/>
              </w:rPr>
              <w:t>Accurate, meaningful quantitative evidence</w:t>
            </w:r>
          </w:p>
        </w:tc>
        <w:tc>
          <w:tcPr>
            <w:tcW w:type="dxa" w:w="1800"/>
          </w:tcPr>
          <w:p>
            <w:pPr>
              <w:jc w:val="left"/>
            </w:pPr>
            <w:r>
              <w:rPr>
                <w:sz w:val="14"/>
              </w:rPr>
              <w:t>Accurate value with basic explanation</w:t>
            </w:r>
          </w:p>
        </w:tc>
        <w:tc>
          <w:tcPr>
            <w:tcW w:type="dxa" w:w="1656"/>
          </w:tcPr>
          <w:p>
            <w:pPr>
              <w:jc w:val="left"/>
            </w:pPr>
            <w:r>
              <w:rPr>
                <w:sz w:val="14"/>
              </w:rPr>
              <w:t>Value present but weakly interpreted</w:t>
            </w:r>
          </w:p>
        </w:tc>
        <w:tc>
          <w:tcPr>
            <w:tcW w:type="dxa" w:w="1512"/>
          </w:tcPr>
          <w:p>
            <w:pPr>
              <w:jc w:val="left"/>
            </w:pPr>
            <w:r>
              <w:rPr>
                <w:sz w:val="14"/>
              </w:rPr>
              <w:t>Absent or inaccurate</w:t>
            </w:r>
          </w:p>
        </w:tc>
      </w:tr>
      <w:tr>
        <w:tc>
          <w:tcPr>
            <w:tcW w:type="dxa" w:w="1800"/>
            <w:shd w:fill="F8FAFA"/>
          </w:tcPr>
          <w:p>
            <w:pPr>
              <w:jc w:val="left"/>
            </w:pPr>
            <w:r>
              <w:rPr>
                <w:sz w:val="14"/>
              </w:rPr>
              <w:t>Limitations/uncertainty</w:t>
            </w:r>
          </w:p>
        </w:tc>
        <w:tc>
          <w:tcPr>
            <w:tcW w:type="dxa" w:w="605"/>
            <w:shd w:fill="F8FAFA"/>
          </w:tcPr>
          <w:p>
            <w:pPr>
              <w:jc w:val="center"/>
            </w:pPr>
            <w:r>
              <w:rPr>
                <w:sz w:val="14"/>
              </w:rPr>
              <w:t>10</w:t>
            </w:r>
          </w:p>
        </w:tc>
        <w:tc>
          <w:tcPr>
            <w:tcW w:type="dxa" w:w="1987"/>
            <w:shd w:fill="F8FAFA"/>
          </w:tcPr>
          <w:p>
            <w:pPr>
              <w:jc w:val="left"/>
            </w:pPr>
            <w:r>
              <w:rPr>
                <w:sz w:val="14"/>
              </w:rPr>
              <w:t>Specific limitations tied to confidence and decisions</w:t>
            </w:r>
          </w:p>
        </w:tc>
        <w:tc>
          <w:tcPr>
            <w:tcW w:type="dxa" w:w="1800"/>
            <w:shd w:fill="F8FAFA"/>
          </w:tcPr>
          <w:p>
            <w:pPr>
              <w:jc w:val="left"/>
            </w:pPr>
            <w:r>
              <w:rPr>
                <w:sz w:val="14"/>
              </w:rPr>
              <w:t>Relevant limitations identified</w:t>
            </w:r>
          </w:p>
        </w:tc>
        <w:tc>
          <w:tcPr>
            <w:tcW w:type="dxa" w:w="1656"/>
            <w:shd w:fill="F8FAFA"/>
          </w:tcPr>
          <w:p>
            <w:pPr>
              <w:jc w:val="left"/>
            </w:pPr>
            <w:r>
              <w:rPr>
                <w:sz w:val="14"/>
              </w:rPr>
              <w:t>Generic limitation list</w:t>
            </w:r>
          </w:p>
        </w:tc>
        <w:tc>
          <w:tcPr>
            <w:tcW w:type="dxa" w:w="1512"/>
            <w:shd w:fill="F8FAFA"/>
          </w:tcPr>
          <w:p>
            <w:pPr>
              <w:jc w:val="left"/>
            </w:pPr>
            <w:r>
              <w:rPr>
                <w:sz w:val="14"/>
              </w:rPr>
              <w:t>Uncertainty ignored</w:t>
            </w:r>
          </w:p>
        </w:tc>
      </w:tr>
      <w:tr>
        <w:tc>
          <w:tcPr>
            <w:tcW w:type="dxa" w:w="1800"/>
          </w:tcPr>
          <w:p>
            <w:pPr>
              <w:jc w:val="left"/>
            </w:pPr>
            <w:r>
              <w:rPr>
                <w:sz w:val="14"/>
              </w:rPr>
              <w:t>Additional data</w:t>
            </w:r>
          </w:p>
        </w:tc>
        <w:tc>
          <w:tcPr>
            <w:tcW w:type="dxa" w:w="605"/>
          </w:tcPr>
          <w:p>
            <w:pPr>
              <w:jc w:val="center"/>
            </w:pPr>
            <w:r>
              <w:rPr>
                <w:sz w:val="14"/>
              </w:rPr>
              <w:t>5</w:t>
            </w:r>
          </w:p>
        </w:tc>
        <w:tc>
          <w:tcPr>
            <w:tcW w:type="dxa" w:w="1987"/>
          </w:tcPr>
          <w:p>
            <w:pPr>
              <w:jc w:val="left"/>
            </w:pPr>
            <w:r>
              <w:rPr>
                <w:sz w:val="14"/>
              </w:rPr>
              <w:t>Targeted sampling would discriminate among explanations</w:t>
            </w:r>
          </w:p>
        </w:tc>
        <w:tc>
          <w:tcPr>
            <w:tcW w:type="dxa" w:w="1800"/>
          </w:tcPr>
          <w:p>
            <w:pPr>
              <w:jc w:val="left"/>
            </w:pPr>
            <w:r>
              <w:rPr>
                <w:sz w:val="14"/>
              </w:rPr>
              <w:t>Useful follow-up data</w:t>
            </w:r>
          </w:p>
        </w:tc>
        <w:tc>
          <w:tcPr>
            <w:tcW w:type="dxa" w:w="1656"/>
          </w:tcPr>
          <w:p>
            <w:pPr>
              <w:jc w:val="left"/>
            </w:pPr>
            <w:r>
              <w:rPr>
                <w:sz w:val="14"/>
              </w:rPr>
              <w:t>Vague follow-up</w:t>
            </w:r>
          </w:p>
        </w:tc>
        <w:tc>
          <w:tcPr>
            <w:tcW w:type="dxa" w:w="1512"/>
          </w:tcPr>
          <w:p>
            <w:pPr>
              <w:jc w:val="left"/>
            </w:pPr>
            <w:r>
              <w:rPr>
                <w:sz w:val="14"/>
              </w:rPr>
              <w:t>No relevant follow-up</w:t>
            </w:r>
          </w:p>
        </w:tc>
      </w:tr>
      <w:tr>
        <w:tc>
          <w:tcPr>
            <w:tcW w:type="dxa" w:w="1800"/>
            <w:shd w:fill="F8FAFA"/>
          </w:tcPr>
          <w:p>
            <w:pPr>
              <w:jc w:val="left"/>
            </w:pPr>
            <w:r>
              <w:rPr>
                <w:sz w:val="14"/>
              </w:rPr>
              <w:t>Recommendation</w:t>
            </w:r>
          </w:p>
        </w:tc>
        <w:tc>
          <w:tcPr>
            <w:tcW w:type="dxa" w:w="605"/>
            <w:shd w:fill="F8FAFA"/>
          </w:tcPr>
          <w:p>
            <w:pPr>
              <w:jc w:val="center"/>
            </w:pPr>
            <w:r>
              <w:rPr>
                <w:sz w:val="14"/>
              </w:rPr>
              <w:t>10</w:t>
            </w:r>
          </w:p>
        </w:tc>
        <w:tc>
          <w:tcPr>
            <w:tcW w:type="dxa" w:w="1987"/>
            <w:shd w:fill="F8FAFA"/>
          </w:tcPr>
          <w:p>
            <w:pPr>
              <w:jc w:val="left"/>
            </w:pPr>
            <w:r>
              <w:rPr>
                <w:sz w:val="14"/>
              </w:rPr>
              <w:t>Feasible and proportional; criteria/trade-offs clear</w:t>
            </w:r>
          </w:p>
        </w:tc>
        <w:tc>
          <w:tcPr>
            <w:tcW w:type="dxa" w:w="1800"/>
            <w:shd w:fill="F8FAFA"/>
          </w:tcPr>
          <w:p>
            <w:pPr>
              <w:jc w:val="left"/>
            </w:pPr>
            <w:r>
              <w:rPr>
                <w:sz w:val="14"/>
              </w:rPr>
              <w:t>Evidence-supported next step</w:t>
            </w:r>
          </w:p>
        </w:tc>
        <w:tc>
          <w:tcPr>
            <w:tcW w:type="dxa" w:w="1656"/>
            <w:shd w:fill="F8FAFA"/>
          </w:tcPr>
          <w:p>
            <w:pPr>
              <w:jc w:val="left"/>
            </w:pPr>
            <w:r>
              <w:rPr>
                <w:sz w:val="14"/>
              </w:rPr>
              <w:t>Partly supported or too broad</w:t>
            </w:r>
          </w:p>
        </w:tc>
        <w:tc>
          <w:tcPr>
            <w:tcW w:type="dxa" w:w="1512"/>
            <w:shd w:fill="F8FAFA"/>
          </w:tcPr>
          <w:p>
            <w:pPr>
              <w:jc w:val="left"/>
            </w:pPr>
            <w:r>
              <w:rPr>
                <w:sz w:val="14"/>
              </w:rPr>
              <w:t>Unsupported or unsafe</w:t>
            </w:r>
          </w:p>
        </w:tc>
      </w:tr>
      <w:tr>
        <w:tc>
          <w:tcPr>
            <w:tcW w:type="dxa" w:w="1800"/>
          </w:tcPr>
          <w:p>
            <w:pPr>
              <w:jc w:val="left"/>
            </w:pPr>
            <w:r>
              <w:rPr>
                <w:sz w:val="14"/>
              </w:rPr>
              <w:t>Communication</w:t>
            </w:r>
          </w:p>
        </w:tc>
        <w:tc>
          <w:tcPr>
            <w:tcW w:type="dxa" w:w="605"/>
          </w:tcPr>
          <w:p>
            <w:pPr>
              <w:jc w:val="center"/>
            </w:pPr>
            <w:r>
              <w:rPr>
                <w:sz w:val="14"/>
              </w:rPr>
              <w:t>5</w:t>
            </w:r>
          </w:p>
        </w:tc>
        <w:tc>
          <w:tcPr>
            <w:tcW w:type="dxa" w:w="1987"/>
          </w:tcPr>
          <w:p>
            <w:pPr>
              <w:jc w:val="left"/>
            </w:pPr>
            <w:r>
              <w:rPr>
                <w:sz w:val="14"/>
              </w:rPr>
              <w:t>Clear, accessible, well-labeled visuals and sources</w:t>
            </w:r>
          </w:p>
        </w:tc>
        <w:tc>
          <w:tcPr>
            <w:tcW w:type="dxa" w:w="1800"/>
          </w:tcPr>
          <w:p>
            <w:pPr>
              <w:jc w:val="left"/>
            </w:pPr>
            <w:r>
              <w:rPr>
                <w:sz w:val="14"/>
              </w:rPr>
              <w:t>Generally clear</w:t>
            </w:r>
          </w:p>
        </w:tc>
        <w:tc>
          <w:tcPr>
            <w:tcW w:type="dxa" w:w="1656"/>
          </w:tcPr>
          <w:p>
            <w:pPr>
              <w:jc w:val="left"/>
            </w:pPr>
            <w:r>
              <w:rPr>
                <w:sz w:val="14"/>
              </w:rPr>
              <w:t>Organization or labeling problems</w:t>
            </w:r>
          </w:p>
        </w:tc>
        <w:tc>
          <w:tcPr>
            <w:tcW w:type="dxa" w:w="1512"/>
          </w:tcPr>
          <w:p>
            <w:pPr>
              <w:jc w:val="left"/>
            </w:pPr>
            <w:r>
              <w:rPr>
                <w:sz w:val="14"/>
              </w:rPr>
              <w:t>Difficult to follow</w:t>
            </w:r>
          </w:p>
        </w:tc>
      </w:tr>
    </w:tbl>
    <w:p>
      <w:pPr>
        <w:spacing w:after="0"/>
      </w:pPr>
    </w:p>
    <w:p>
      <w:pPr>
        <w:pStyle w:val="Heading2"/>
      </w:pPr>
      <w:r>
        <w:t>Performance bands</w:t>
      </w:r>
    </w:p>
    <w:p>
      <w:pPr>
        <w:pStyle w:val="ListBullet"/>
      </w:pPr>
      <w:r>
        <w:t>90-100: Exemplary</w:t>
      </w:r>
    </w:p>
    <w:p>
      <w:pPr>
        <w:pStyle w:val="ListBullet"/>
      </w:pPr>
      <w:r>
        <w:t>80-89: Proficient</w:t>
      </w:r>
    </w:p>
    <w:p>
      <w:pPr>
        <w:pStyle w:val="ListBullet"/>
      </w:pPr>
      <w:r>
        <w:t>70-79: Developing</w:t>
      </w:r>
    </w:p>
    <w:p>
      <w:pPr>
        <w:pStyle w:val="ListBullet"/>
      </w:pPr>
      <w:r>
        <w:t>Below 70: Beginning / revision needed</w:t>
      </w:r>
    </w:p>
    <w:p>
      <w:pPr>
        <w:pStyle w:val="Heading1"/>
      </w:pPr>
      <w:r>
        <w:t>Capstone model response</w:t>
      </w:r>
    </w:p>
    <w:p>
      <w:r>
        <w:t>Priority claim: Zone B should receive the first targeted ground investigation. Samples S4-S6 show lower positive NDVI (0.19-0.34) than the densely vegetated Zone A (0.50-0.53) and mixed-vegetation Zone D (0.43-0.48). Field notes in Zone B independently report patchiness, yellow-brown leaves, and exposed soil. Zone C has lower or negative NDVI, but the map and notes identify open water, so it is not the strongest evidence of stressed emergent vegetation. The packet does not establish the cause of Zone B's pattern; water depth, species composition, phenology, soil/salinity, pest/pathogen indicators, recent disturbance, calibration, and repeat-date imagery would help test alternatives. A proportional recommendation is a stratified ground survey of Zone B and reference plots in Zones A and D before treatment or restoration decisions.</w:t>
      </w:r>
    </w:p>
    <w:p>
      <w:pPr>
        <w:pStyle w:val="Heading1"/>
      </w:pPr>
      <w:r>
        <w:t>Sources and currency note</w:t>
      </w:r>
    </w:p>
    <w:p>
      <w:r>
        <w:t>Standards and flight rules can change. The references below were checked on September 1, 2026. Instructors should recheck FAA and local requirements before any real-world flight. This unit does not require students to operate a drone.</w:t>
      </w:r>
    </w:p>
    <w:p>
      <w:pPr>
        <w:pStyle w:val="ListBullet"/>
      </w:pPr>
      <w:hyperlink r:id="rId11">
        <w:r>
          <w:rPr>
            <w:color w:val="247B78"/>
            <w:u w:val="single"/>
          </w:rPr>
          <w:t>College Board, AP Environmental Science</w:t>
        </w:r>
      </w:hyperlink>
    </w:p>
    <w:p>
      <w:pPr>
        <w:pStyle w:val="ListBullet"/>
      </w:pPr>
      <w:hyperlink r:id="rId12">
        <w:r>
          <w:rPr>
            <w:color w:val="247B78"/>
            <w:u w:val="single"/>
          </w:rPr>
          <w:t>Next Generation Science Standards, HS-ESS3-4</w:t>
        </w:r>
      </w:hyperlink>
    </w:p>
    <w:p>
      <w:pPr>
        <w:pStyle w:val="ListBullet"/>
      </w:pPr>
      <w:hyperlink r:id="rId13">
        <w:r>
          <w:rPr>
            <w:color w:val="247B78"/>
            <w:u w:val="single"/>
          </w:rPr>
          <w:t>Next Generation Science Standards, HS-ESS3-6</w:t>
        </w:r>
      </w:hyperlink>
    </w:p>
    <w:p>
      <w:pPr>
        <w:pStyle w:val="ListBullet"/>
      </w:pPr>
      <w:hyperlink r:id="rId14">
        <w:r>
          <w:rPr>
            <w:color w:val="247B78"/>
            <w:u w:val="single"/>
          </w:rPr>
          <w:t>Next Generation Science Standards, HS-LS2-7</w:t>
        </w:r>
      </w:hyperlink>
    </w:p>
    <w:p>
      <w:pPr>
        <w:pStyle w:val="ListBullet"/>
      </w:pPr>
      <w:hyperlink r:id="rId15">
        <w:r>
          <w:rPr>
            <w:color w:val="247B78"/>
            <w:u w:val="single"/>
          </w:rPr>
          <w:t>FAA, Recreational Flyers and Small UAS overview</w:t>
        </w:r>
      </w:hyperlink>
    </w:p>
    <w:p>
      <w:pPr>
        <w:pStyle w:val="ListBullet"/>
      </w:pPr>
      <w:hyperlink r:id="rId16">
        <w:r>
          <w:rPr>
            <w:color w:val="247B78"/>
            <w:u w:val="single"/>
          </w:rPr>
          <w:t>USGS, Landsat Data Access</w:t>
        </w:r>
      </w:hyperlink>
    </w:p>
    <w:p>
      <w:pPr>
        <w:pStyle w:val="ListBullet"/>
      </w:pPr>
      <w:hyperlink r:id="rId17">
        <w:r>
          <w:rPr>
            <w:color w:val="247B78"/>
            <w:u w:val="single"/>
          </w:rPr>
          <w:t>OpenAerialMap</w:t>
        </w:r>
      </w:hyperlink>
    </w:p>
    <w:sectPr w:rsidR="00FC693F" w:rsidRPr="0006063C" w:rsidSect="00034616">
      <w:headerReference w:type="default" r:id="rId9"/>
      <w:footerReference w:type="default" r:id="rId10"/>
      <w:pgSz w:w="12240" w:h="15840"/>
      <w:pgMar w:top="1224" w:right="1224" w:bottom="1080"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6616B"/>
        <w:sz w:val="16"/>
      </w:rPr>
      <w:t xml:space="preserve">Introduction to Drone Remote Sensing for Environmental Science  |  </w:t>
    </w:r>
    <w:r>
      <w:rPr>
        <w:color w:val="56616B"/>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8" w:color="BFD7D2"/>
      </w:pBdr>
    </w:pPr>
    <w:r>
      <w:rPr>
        <w:rFonts w:ascii="Aptos" w:hAnsi="Aptos"/>
        <w:b/>
        <w:color w:val="247B78"/>
        <w:sz w:val="17"/>
      </w:rPr>
      <w:t>ASSESSMENT AND ANSWER KEY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52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47B78"/>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56825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17324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20"/>
    </w:pPr>
    <w:rPr>
      <w:rFonts w:asciiTheme="majorHAnsi" w:eastAsiaTheme="majorEastAsia" w:hAnsiTheme="majorHAnsi" w:cstheme="majorBidi" w:ascii="Aptos" w:hAnsi="Aptos"/>
      <w:b w:val="0"/>
      <w:i/>
      <w:iCs/>
      <w:color w:val="56616B"/>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pcentral.collegeboard.org/courses/ap-environmental-science" TargetMode="External"/><Relationship Id="rId12" Type="http://schemas.openxmlformats.org/officeDocument/2006/relationships/hyperlink" Target="https://www.nextgenscience.org/pe/hs-ess3-4-earth-and-human-activity" TargetMode="External"/><Relationship Id="rId13" Type="http://schemas.openxmlformats.org/officeDocument/2006/relationships/hyperlink" Target="https://www.nextgenscience.org/pe/hs-ess3-6-earth-and-human-activity" TargetMode="External"/><Relationship Id="rId14" Type="http://schemas.openxmlformats.org/officeDocument/2006/relationships/hyperlink" Target="https://www.nextgenscience.org/pe/hs-ls2-7-ecosystems-interactions-energy-and-dynamics" TargetMode="External"/><Relationship Id="rId15" Type="http://schemas.openxmlformats.org/officeDocument/2006/relationships/hyperlink" Target="https://www.faa.gov/uas/recreational_flyers" TargetMode="External"/><Relationship Id="rId16" Type="http://schemas.openxmlformats.org/officeDocument/2006/relationships/hyperlink" Target="https://www.usgs.gov/landsat-missions/landsat-data-access" TargetMode="External"/><Relationship Id="rId17" Type="http://schemas.openxmlformats.org/officeDocument/2006/relationships/hyperlink" Target="https://map.openaerialma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