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1280"/>
        <w:jc w:val="center"/>
      </w:pPr>
      <w:r>
        <w:rPr>
          <w:b/>
          <w:color w:val="247B78"/>
          <w:sz w:val="20"/>
        </w:rPr>
        <w:t>PORTFOLIO-READY INSTRUCTIONAL UNIT</w:t>
      </w:r>
    </w:p>
    <w:p>
      <w:pPr>
        <w:pStyle w:val="Title"/>
        <w:jc w:val="center"/>
      </w:pPr>
      <w:r>
        <w:t>Introduction to Drone Remote Sensing for Environmental Science</w:t>
      </w:r>
    </w:p>
    <w:p>
      <w:pPr>
        <w:pStyle w:val="Subtitle"/>
        <w:jc w:val="center"/>
      </w:pPr>
      <w:r>
        <w:t>Instructor Guide</w:t>
      </w:r>
    </w:p>
    <w:tbl>
      <w:tblPr>
        <w:tblW w:type="dxa" w:w="9360"/>
        <w:jc w:val="center"/>
        <w:tblLook w:firstColumn="1" w:firstRow="1" w:lastColumn="0" w:lastRow="0" w:noHBand="0" w:noVBand="1" w:val="04A0"/>
        <w:tblLayout w:type="fixed"/>
        <w:tblInd w:w="120" w:type="dxa"/>
        <w:tblBorders>
          <w:top w:val="single" w:sz="5" w:color="D7E4E1"/>
          <w:left w:val="single" w:sz="5" w:color="D7E4E1"/>
          <w:bottom w:val="single" w:sz="5" w:color="D7E4E1"/>
          <w:right w:val="single" w:sz="5" w:color="D7E4E1"/>
          <w:insideH w:val="single" w:sz="5" w:color="D7E4E1"/>
          <w:insideV w:val="single" w:sz="5" w:color="D7E4E1"/>
        </w:tblBorders>
      </w:tblPr>
      <w:tblGrid>
        <w:gridCol w:w="3096"/>
        <w:gridCol w:w="3096"/>
        <w:gridCol w:w="3168"/>
      </w:tblGrid>
      <w:tr>
        <w:tc>
          <w:tcPr>
            <w:tcW w:type="dxa" w:w="3096"/>
            <w:tcMar>
              <w:top w:w="100" w:type="dxa"/>
              <w:start w:w="120" w:type="dxa"/>
              <w:bottom w:w="100" w:type="dxa"/>
              <w:end w:w="120" w:type="dxa"/>
            </w:tcMar>
            <w:vAlign w:val="center"/>
            <w:shd w:fill="EAF3F1"/>
          </w:tcPr>
          <w:p>
            <w:pPr>
              <w:jc w:val="center"/>
            </w:pPr>
            <w:r>
              <w:rPr>
                <w:b/>
                <w:color w:val="247B78"/>
                <w:sz w:val="16"/>
              </w:rPr>
              <w:t>AUDIENCE</w:t>
              <w:br/>
            </w:r>
            <w:r>
              <w:rPr>
                <w:sz w:val="19"/>
              </w:rPr>
              <w:t>AP Environmental Science and introductory undergraduate environmental science</w:t>
            </w:r>
          </w:p>
        </w:tc>
        <w:tc>
          <w:tcPr>
            <w:tcW w:type="dxa" w:w="3096"/>
            <w:tcMar>
              <w:top w:w="100" w:type="dxa"/>
              <w:start w:w="120" w:type="dxa"/>
              <w:bottom w:w="100" w:type="dxa"/>
              <w:end w:w="120" w:type="dxa"/>
            </w:tcMar>
            <w:vAlign w:val="center"/>
            <w:shd w:fill="EAF3F1"/>
          </w:tcPr>
          <w:p>
            <w:pPr>
              <w:jc w:val="center"/>
            </w:pPr>
            <w:r>
              <w:rPr>
                <w:b/>
                <w:color w:val="247B78"/>
                <w:sz w:val="16"/>
              </w:rPr>
              <w:t>LENGTH</w:t>
              <w:br/>
            </w:r>
            <w:r>
              <w:rPr>
                <w:sz w:val="19"/>
              </w:rPr>
              <w:t>10 instructional days</w:t>
            </w:r>
          </w:p>
        </w:tc>
        <w:tc>
          <w:tcPr>
            <w:tcW w:type="dxa" w:w="3168"/>
            <w:tcMar>
              <w:top w:w="100" w:type="dxa"/>
              <w:start w:w="120" w:type="dxa"/>
              <w:bottom w:w="100" w:type="dxa"/>
              <w:end w:w="120" w:type="dxa"/>
            </w:tcMar>
            <w:vAlign w:val="center"/>
            <w:shd w:fill="EAF3F1"/>
          </w:tcPr>
          <w:p>
            <w:pPr>
              <w:jc w:val="center"/>
            </w:pPr>
            <w:r>
              <w:rPr>
                <w:b/>
                <w:color w:val="247B78"/>
                <w:sz w:val="16"/>
              </w:rPr>
              <w:t>RESOURCE</w:t>
              <w:br/>
            </w:r>
            <w:r>
              <w:rPr>
                <w:sz w:val="19"/>
              </w:rPr>
              <w:t>Instructor planning and facilitation</w:t>
            </w:r>
          </w:p>
        </w:tc>
      </w:tr>
    </w:tbl>
    <w:p/>
    <w:p>
      <w:pPr>
        <w:jc w:val="center"/>
      </w:pPr>
      <w:r>
        <w:rPr>
          <w:i/>
          <w:color w:val="17324D"/>
          <w:sz w:val="22"/>
        </w:rPr>
        <w:t>Driving question: How can drone-based remote sensing help environmental scientists observe, measure, and manage environmental change?</w:t>
      </w:r>
    </w:p>
    <w:p>
      <w:r>
        <w:br w:type="page"/>
      </w:r>
    </w:p>
    <w:p>
      <w:pPr>
        <w:pStyle w:val="Heading1"/>
      </w:pPr>
      <w:r>
        <w:t>Unit at a glance</w:t>
      </w:r>
    </w:p>
    <w:tbl>
      <w:tblPr>
        <w:tblW w:type="dxa" w:w="9360"/>
        <w:tblLook w:firstColumn="1" w:firstRow="1" w:lastColumn="0" w:lastRow="0" w:noHBand="0" w:noVBand="1" w:val="04A0"/>
        <w:tblLayout w:type="fixed"/>
        <w:tblInd w:w="120" w:type="dxa"/>
        <w:tblBorders>
          <w:top w:val="single" w:sz="6" w:color="BFD7D2"/>
          <w:left w:val="single" w:sz="6" w:color="BFD7D2"/>
          <w:bottom w:val="single" w:sz="6" w:color="BFD7D2"/>
          <w:right w:val="single" w:sz="6" w:color="BFD7D2"/>
          <w:insideH w:val="single" w:sz="6" w:color="BFD7D2"/>
          <w:insideV w:val="single" w:sz="6" w:color="BFD7D2"/>
        </w:tblBorders>
      </w:tblPr>
      <w:tblGrid>
        <w:gridCol w:w="9360"/>
      </w:tblGrid>
      <w:tr>
        <w:tc>
          <w:tcPr>
            <w:tcW w:type="dxa" w:w="9360"/>
            <w:tcMar>
              <w:top w:w="100" w:type="dxa"/>
              <w:start w:w="120" w:type="dxa"/>
              <w:bottom w:w="100" w:type="dxa"/>
              <w:end w:w="120" w:type="dxa"/>
            </w:tcMar>
            <w:vAlign w:val="center"/>
            <w:shd w:fill="EAF3F1"/>
          </w:tcPr>
          <w:p>
            <w:r>
              <w:rPr>
                <w:b/>
                <w:color w:val="247B78"/>
              </w:rPr>
              <w:t xml:space="preserve">Design promise  </w:t>
            </w:r>
            <w:r>
              <w:t>Students can complete the entire unit without flying a drone. The emphasis is environmental measurement, geospatial reasoning, evidence, uncertainty, and responsible decision-making.</w:t>
            </w:r>
          </w:p>
        </w:tc>
      </w:tr>
    </w:tbl>
    <w:p>
      <w:pPr>
        <w:spacing w:after="0"/>
      </w:pPr>
    </w:p>
    <w:tbl>
      <w:tblPr>
        <w:tblW w:type="dxa" w:w="9360"/>
        <w:jc w:val="center"/>
        <w:tblLayout w:type="fixed"/>
        <w:tblLook w:firstColumn="1" w:firstRow="1" w:lastColumn="0" w:lastRow="0" w:noHBand="0" w:noVBand="1" w:val="04A0"/>
        <w:tblInd w:w="120" w:type="dxa"/>
        <w:tblBorders>
          <w:top w:val="single" w:sz="6" w:color="CBD5D9"/>
          <w:left w:val="single" w:sz="6" w:color="CBD5D9"/>
          <w:bottom w:val="single" w:sz="6" w:color="CBD5D9"/>
          <w:right w:val="single" w:sz="6" w:color="CBD5D9"/>
          <w:insideH w:val="single" w:sz="6" w:color="CBD5D9"/>
          <w:insideV w:val="single" w:sz="6" w:color="CBD5D9"/>
        </w:tblBorders>
      </w:tblPr>
      <w:tblGrid>
        <w:gridCol w:w="792"/>
        <w:gridCol w:w="3672"/>
        <w:gridCol w:w="4896"/>
      </w:tblGrid>
      <w:tr>
        <w:trPr>
          <w:tblHeader w:val="true"/>
        </w:trPr>
        <w:tc>
          <w:tcPr>
            <w:tcW w:type="dxa" w:w="792"/>
            <w:tcMar>
              <w:top w:w="100" w:type="dxa"/>
              <w:start w:w="120" w:type="dxa"/>
              <w:bottom w:w="100" w:type="dxa"/>
              <w:end w:w="120" w:type="dxa"/>
            </w:tcMar>
            <w:vAlign w:val="center"/>
            <w:shd w:fill="17324D"/>
          </w:tcPr>
          <w:p>
            <w:pPr>
              <w:jc w:val="center"/>
            </w:pPr>
            <w:r>
              <w:rPr>
                <w:b/>
                <w:color w:val="FFFFFF"/>
                <w:sz w:val="17"/>
              </w:rPr>
              <w:t>Day</w:t>
            </w:r>
          </w:p>
        </w:tc>
        <w:tc>
          <w:tcPr>
            <w:tcW w:type="dxa" w:w="3672"/>
            <w:tcMar>
              <w:top w:w="100" w:type="dxa"/>
              <w:start w:w="120" w:type="dxa"/>
              <w:bottom w:w="100" w:type="dxa"/>
              <w:end w:w="120" w:type="dxa"/>
            </w:tcMar>
            <w:vAlign w:val="center"/>
            <w:shd w:fill="17324D"/>
          </w:tcPr>
          <w:p>
            <w:pPr>
              <w:jc w:val="center"/>
            </w:pPr>
            <w:r>
              <w:rPr>
                <w:b/>
                <w:color w:val="FFFFFF"/>
                <w:sz w:val="17"/>
              </w:rPr>
              <w:t>Focus</w:t>
            </w:r>
          </w:p>
        </w:tc>
        <w:tc>
          <w:tcPr>
            <w:tcW w:type="dxa" w:w="4896"/>
            <w:tcMar>
              <w:top w:w="100" w:type="dxa"/>
              <w:start w:w="120" w:type="dxa"/>
              <w:bottom w:w="100" w:type="dxa"/>
              <w:end w:w="120" w:type="dxa"/>
            </w:tcMar>
            <w:vAlign w:val="center"/>
            <w:shd w:fill="17324D"/>
          </w:tcPr>
          <w:p>
            <w:pPr>
              <w:jc w:val="center"/>
            </w:pPr>
            <w:r>
              <w:rPr>
                <w:b/>
                <w:color w:val="FFFFFF"/>
                <w:sz w:val="17"/>
              </w:rPr>
              <w:t>Primary student evidence</w:t>
            </w:r>
          </w:p>
        </w:tc>
      </w:tr>
      <w:tr>
        <w:tc>
          <w:tcPr>
            <w:tcW w:type="dxa" w:w="792"/>
          </w:tcPr>
          <w:p>
            <w:pPr>
              <w:jc w:val="center"/>
            </w:pPr>
            <w:r>
              <w:rPr>
                <w:sz w:val="17"/>
              </w:rPr>
              <w:t>1</w:t>
            </w:r>
          </w:p>
        </w:tc>
        <w:tc>
          <w:tcPr>
            <w:tcW w:type="dxa" w:w="3672"/>
          </w:tcPr>
          <w:p>
            <w:pPr>
              <w:jc w:val="left"/>
            </w:pPr>
            <w:r>
              <w:rPr>
                <w:sz w:val="17"/>
              </w:rPr>
              <w:t>Seeing the Environment from Above</w:t>
            </w:r>
          </w:p>
        </w:tc>
        <w:tc>
          <w:tcPr>
            <w:tcW w:type="dxa" w:w="4896"/>
          </w:tcPr>
          <w:p>
            <w:pPr>
              <w:jc w:val="left"/>
            </w:pPr>
            <w:r>
              <w:rPr>
                <w:sz w:val="17"/>
              </w:rPr>
              <w:t>Name one environmental phenomenon suited to remote observation and explain why.</w:t>
            </w:r>
          </w:p>
        </w:tc>
      </w:tr>
      <w:tr>
        <w:tc>
          <w:tcPr>
            <w:tcW w:type="dxa" w:w="792"/>
            <w:shd w:fill="F8FAFA"/>
          </w:tcPr>
          <w:p>
            <w:pPr>
              <w:jc w:val="center"/>
            </w:pPr>
            <w:r>
              <w:rPr>
                <w:sz w:val="17"/>
              </w:rPr>
              <w:t>2</w:t>
            </w:r>
          </w:p>
        </w:tc>
        <w:tc>
          <w:tcPr>
            <w:tcW w:type="dxa" w:w="3672"/>
            <w:shd w:fill="F8FAFA"/>
          </w:tcPr>
          <w:p>
            <w:pPr>
              <w:jc w:val="left"/>
            </w:pPr>
            <w:r>
              <w:rPr>
                <w:sz w:val="17"/>
              </w:rPr>
              <w:t>A Drone as a Scientific Measurement System</w:t>
            </w:r>
          </w:p>
        </w:tc>
        <w:tc>
          <w:tcPr>
            <w:tcW w:type="dxa" w:w="4896"/>
            <w:shd w:fill="F8FAFA"/>
          </w:tcPr>
          <w:p>
            <w:pPr>
              <w:jc w:val="left"/>
            </w:pPr>
            <w:r>
              <w:rPr>
                <w:sz w:val="17"/>
              </w:rPr>
              <w:t>Put eight workflow cards in order and identify one quality-control check before, during, and after collection.</w:t>
            </w:r>
          </w:p>
        </w:tc>
      </w:tr>
      <w:tr>
        <w:tc>
          <w:tcPr>
            <w:tcW w:type="dxa" w:w="792"/>
          </w:tcPr>
          <w:p>
            <w:pPr>
              <w:jc w:val="center"/>
            </w:pPr>
            <w:r>
              <w:rPr>
                <w:sz w:val="17"/>
              </w:rPr>
              <w:t>3</w:t>
            </w:r>
          </w:p>
        </w:tc>
        <w:tc>
          <w:tcPr>
            <w:tcW w:type="dxa" w:w="3672"/>
          </w:tcPr>
          <w:p>
            <w:pPr>
              <w:jc w:val="left"/>
            </w:pPr>
            <w:r>
              <w:rPr>
                <w:sz w:val="17"/>
              </w:rPr>
              <w:t>Sensors and the Electromagnetic Spectrum</w:t>
            </w:r>
          </w:p>
        </w:tc>
        <w:tc>
          <w:tcPr>
            <w:tcW w:type="dxa" w:w="4896"/>
          </w:tcPr>
          <w:p>
            <w:pPr>
              <w:jc w:val="left"/>
            </w:pPr>
            <w:r>
              <w:rPr>
                <w:sz w:val="17"/>
              </w:rPr>
              <w:t>For thermal discharge, choose a sensor and explain what it measures directly versus what scientists infer.</w:t>
            </w:r>
          </w:p>
        </w:tc>
      </w:tr>
      <w:tr>
        <w:tc>
          <w:tcPr>
            <w:tcW w:type="dxa" w:w="792"/>
            <w:shd w:fill="F8FAFA"/>
          </w:tcPr>
          <w:p>
            <w:pPr>
              <w:jc w:val="center"/>
            </w:pPr>
            <w:r>
              <w:rPr>
                <w:sz w:val="17"/>
              </w:rPr>
              <w:t>4</w:t>
            </w:r>
          </w:p>
        </w:tc>
        <w:tc>
          <w:tcPr>
            <w:tcW w:type="dxa" w:w="3672"/>
            <w:shd w:fill="F8FAFA"/>
          </w:tcPr>
          <w:p>
            <w:pPr>
              <w:jc w:val="left"/>
            </w:pPr>
            <w:r>
              <w:rPr>
                <w:sz w:val="17"/>
              </w:rPr>
              <w:t>Resolution and Scale</w:t>
            </w:r>
          </w:p>
        </w:tc>
        <w:tc>
          <w:tcPr>
            <w:tcW w:type="dxa" w:w="4896"/>
            <w:shd w:fill="F8FAFA"/>
          </w:tcPr>
          <w:p>
            <w:pPr>
              <w:jc w:val="left"/>
            </w:pPr>
            <w:r>
              <w:rPr>
                <w:sz w:val="17"/>
              </w:rPr>
              <w:t>Explain why 30 m imagery can support regional forest analysis but not reliable diagnosis of an individual tree.</w:t>
            </w:r>
          </w:p>
        </w:tc>
      </w:tr>
      <w:tr>
        <w:tc>
          <w:tcPr>
            <w:tcW w:type="dxa" w:w="792"/>
          </w:tcPr>
          <w:p>
            <w:pPr>
              <w:jc w:val="center"/>
            </w:pPr>
            <w:r>
              <w:rPr>
                <w:sz w:val="17"/>
              </w:rPr>
              <w:t>5</w:t>
            </w:r>
          </w:p>
        </w:tc>
        <w:tc>
          <w:tcPr>
            <w:tcW w:type="dxa" w:w="3672"/>
          </w:tcPr>
          <w:p>
            <w:pPr>
              <w:jc w:val="left"/>
            </w:pPr>
            <w:r>
              <w:rPr>
                <w:sz w:val="17"/>
              </w:rPr>
              <w:t>Multispectral Data and NDVI</w:t>
            </w:r>
          </w:p>
        </w:tc>
        <w:tc>
          <w:tcPr>
            <w:tcW w:type="dxa" w:w="4896"/>
          </w:tcPr>
          <w:p>
            <w:pPr>
              <w:jc w:val="left"/>
            </w:pPr>
            <w:r>
              <w:rPr>
                <w:sz w:val="17"/>
              </w:rPr>
              <w:t>Calculate NDVI for Red = 0.</w:t>
            </w:r>
          </w:p>
        </w:tc>
      </w:tr>
      <w:tr>
        <w:tc>
          <w:tcPr>
            <w:tcW w:type="dxa" w:w="792"/>
            <w:shd w:fill="F8FAFA"/>
          </w:tcPr>
          <w:p>
            <w:pPr>
              <w:jc w:val="center"/>
            </w:pPr>
            <w:r>
              <w:rPr>
                <w:sz w:val="17"/>
              </w:rPr>
              <w:t>6</w:t>
            </w:r>
          </w:p>
        </w:tc>
        <w:tc>
          <w:tcPr>
            <w:tcW w:type="dxa" w:w="3672"/>
            <w:shd w:fill="F8FAFA"/>
          </w:tcPr>
          <w:p>
            <w:pPr>
              <w:jc w:val="left"/>
            </w:pPr>
            <w:r>
              <w:rPr>
                <w:sz w:val="17"/>
              </w:rPr>
              <w:t>From Photographs to Maps</w:t>
            </w:r>
          </w:p>
        </w:tc>
        <w:tc>
          <w:tcPr>
            <w:tcW w:type="dxa" w:w="4896"/>
            <w:shd w:fill="F8FAFA"/>
          </w:tcPr>
          <w:p>
            <w:pPr>
              <w:jc w:val="left"/>
            </w:pPr>
            <w:r>
              <w:rPr>
                <w:sz w:val="17"/>
              </w:rPr>
              <w:t>Explain why a digital surface model may show treetops and buildings rather than ground elevation.</w:t>
            </w:r>
          </w:p>
        </w:tc>
      </w:tr>
      <w:tr>
        <w:tc>
          <w:tcPr>
            <w:tcW w:type="dxa" w:w="792"/>
          </w:tcPr>
          <w:p>
            <w:pPr>
              <w:jc w:val="center"/>
            </w:pPr>
            <w:r>
              <w:rPr>
                <w:sz w:val="17"/>
              </w:rPr>
              <w:t>7</w:t>
            </w:r>
          </w:p>
        </w:tc>
        <w:tc>
          <w:tcPr>
            <w:tcW w:type="dxa" w:w="3672"/>
          </w:tcPr>
          <w:p>
            <w:pPr>
              <w:jc w:val="left"/>
            </w:pPr>
            <w:r>
              <w:rPr>
                <w:sz w:val="17"/>
              </w:rPr>
              <w:t>Environmental Applications Case-Study Stations</w:t>
            </w:r>
          </w:p>
        </w:tc>
        <w:tc>
          <w:tcPr>
            <w:tcW w:type="dxa" w:w="4896"/>
          </w:tcPr>
          <w:p>
            <w:pPr>
              <w:jc w:val="left"/>
            </w:pPr>
            <w:r>
              <w:rPr>
                <w:sz w:val="17"/>
              </w:rPr>
              <w:t>Choose the case with the greatest uncertainty and identify a field measurement that would reduce it.</w:t>
            </w:r>
          </w:p>
        </w:tc>
      </w:tr>
      <w:tr>
        <w:tc>
          <w:tcPr>
            <w:tcW w:type="dxa" w:w="792"/>
            <w:shd w:fill="F8FAFA"/>
          </w:tcPr>
          <w:p>
            <w:pPr>
              <w:jc w:val="center"/>
            </w:pPr>
            <w:r>
              <w:rPr>
                <w:sz w:val="17"/>
              </w:rPr>
              <w:t>8</w:t>
            </w:r>
          </w:p>
        </w:tc>
        <w:tc>
          <w:tcPr>
            <w:tcW w:type="dxa" w:w="3672"/>
            <w:shd w:fill="F8FAFA"/>
          </w:tcPr>
          <w:p>
            <w:pPr>
              <w:jc w:val="left"/>
            </w:pPr>
            <w:r>
              <w:rPr>
                <w:sz w:val="17"/>
              </w:rPr>
              <w:t>Accuracy, Ethics, Safety, and Regulation</w:t>
            </w:r>
          </w:p>
        </w:tc>
        <w:tc>
          <w:tcPr>
            <w:tcW w:type="dxa" w:w="4896"/>
            <w:shd w:fill="F8FAFA"/>
          </w:tcPr>
          <w:p>
            <w:pPr>
              <w:jc w:val="left"/>
            </w:pPr>
            <w:r>
              <w:rPr>
                <w:sz w:val="17"/>
              </w:rPr>
              <w:t>CER response to: 'Drone remote sensing should replace most ground-based environmental monitoring.</w:t>
            </w:r>
          </w:p>
        </w:tc>
      </w:tr>
      <w:tr>
        <w:tc>
          <w:tcPr>
            <w:tcW w:type="dxa" w:w="792"/>
          </w:tcPr>
          <w:p>
            <w:pPr>
              <w:jc w:val="center"/>
            </w:pPr>
            <w:r>
              <w:rPr>
                <w:sz w:val="17"/>
              </w:rPr>
              <w:t>9</w:t>
            </w:r>
          </w:p>
        </w:tc>
        <w:tc>
          <w:tcPr>
            <w:tcW w:type="dxa" w:w="3672"/>
          </w:tcPr>
          <w:p>
            <w:pPr>
              <w:jc w:val="left"/>
            </w:pPr>
            <w:r>
              <w:rPr>
                <w:sz w:val="17"/>
              </w:rPr>
              <w:t>Capstone Investigation: Analyze the Evidence</w:t>
            </w:r>
          </w:p>
        </w:tc>
        <w:tc>
          <w:tcPr>
            <w:tcW w:type="dxa" w:w="4896"/>
          </w:tcPr>
          <w:p>
            <w:pPr>
              <w:jc w:val="left"/>
            </w:pPr>
            <w:r>
              <w:rPr>
                <w:sz w:val="17"/>
              </w:rPr>
              <w:t>Submit a claim naming a priority zone, two pieces of evidence, and one uncertainty.</w:t>
            </w:r>
          </w:p>
        </w:tc>
      </w:tr>
      <w:tr>
        <w:tc>
          <w:tcPr>
            <w:tcW w:type="dxa" w:w="792"/>
            <w:shd w:fill="F8FAFA"/>
          </w:tcPr>
          <w:p>
            <w:pPr>
              <w:jc w:val="center"/>
            </w:pPr>
            <w:r>
              <w:rPr>
                <w:sz w:val="17"/>
              </w:rPr>
              <w:t>10</w:t>
            </w:r>
          </w:p>
        </w:tc>
        <w:tc>
          <w:tcPr>
            <w:tcW w:type="dxa" w:w="3672"/>
            <w:shd w:fill="F8FAFA"/>
          </w:tcPr>
          <w:p>
            <w:pPr>
              <w:jc w:val="left"/>
            </w:pPr>
            <w:r>
              <w:rPr>
                <w:sz w:val="17"/>
              </w:rPr>
              <w:t>Scientific Briefing and Individual Assessment</w:t>
            </w:r>
          </w:p>
        </w:tc>
        <w:tc>
          <w:tcPr>
            <w:tcW w:type="dxa" w:w="4896"/>
            <w:shd w:fill="F8FAFA"/>
          </w:tcPr>
          <w:p>
            <w:pPr>
              <w:jc w:val="left"/>
            </w:pPr>
            <w:r>
              <w:rPr>
                <w:sz w:val="17"/>
              </w:rPr>
              <w:t>Peer feedback: one evidence strength, one question, and one recommendation for revision.</w:t>
            </w:r>
          </w:p>
        </w:tc>
      </w:tr>
    </w:tbl>
    <w:p>
      <w:pPr>
        <w:spacing w:after="0"/>
      </w:pPr>
    </w:p>
    <w:p>
      <w:pPr>
        <w:pStyle w:val="Heading1"/>
      </w:pPr>
      <w:r>
        <w:t>Standards and competencies</w:t>
      </w:r>
    </w:p>
    <w:p>
      <w:pPr>
        <w:pStyle w:val="Heading2"/>
      </w:pPr>
      <w:r>
        <w:t>AP Environmental Science science practices</w:t>
      </w:r>
    </w:p>
    <w:p>
      <w:pPr>
        <w:pStyle w:val="ListBullet"/>
      </w:pPr>
      <w:r>
        <w:t>Practice 1 - Concept Explanation: explain remote-sensing concepts, processes, and models.</w:t>
      </w:r>
    </w:p>
    <w:p>
      <w:pPr>
        <w:pStyle w:val="ListBullet"/>
      </w:pPr>
      <w:r>
        <w:t>Practice 2 - Visual Representations: analyze aerial imagery, maps, and processing diagrams.</w:t>
      </w:r>
    </w:p>
    <w:p>
      <w:pPr>
        <w:pStyle w:val="ListBullet"/>
      </w:pPr>
      <w:r>
        <w:t>Practice 4 - Scientific Experiments: evaluate investigation design, sampling, controls, and error.</w:t>
      </w:r>
    </w:p>
    <w:p>
      <w:pPr>
        <w:pStyle w:val="ListBullet"/>
      </w:pPr>
      <w:r>
        <w:t>Practice 5 - Data Analysis: analyze tables, maps, and quantitative spatial patterns.</w:t>
      </w:r>
    </w:p>
    <w:p>
      <w:pPr>
        <w:pStyle w:val="ListBullet"/>
      </w:pPr>
      <w:r>
        <w:t>Practice 6 - Mathematical Routines: calculate and interpret NDVI and proportions.</w:t>
      </w:r>
    </w:p>
    <w:p>
      <w:pPr>
        <w:pStyle w:val="ListBullet"/>
      </w:pPr>
      <w:r>
        <w:t>Practice 7 - Environmental Solutions: propose and justify management actions using evidence and constraints.</w:t>
      </w:r>
    </w:p>
    <w:p>
      <w:pPr>
        <w:pStyle w:val="ListBullet"/>
      </w:pPr>
      <w:r>
        <w:t>Practice 3 - Text Analysis is addressed through source and scenario evaluation, though it is not the unit's primary emphasis.</w:t>
      </w:r>
    </w:p>
    <w:p>
      <w:r>
        <w:t>Content connections are especially strong in biodiversity, land and water use, aquatic and terrestrial pollution, ecosystem change, and environmental solutions. This unit supplements - rather than replaces - required AP investigations and course content.</w:t>
      </w:r>
    </w:p>
    <w:p>
      <w:pPr>
        <w:pStyle w:val="Heading2"/>
      </w:pPr>
      <w:r>
        <w:t>NGSS alignment</w:t>
      </w:r>
    </w:p>
    <w:tbl>
      <w:tblPr>
        <w:tblW w:type="dxa" w:w="9360"/>
        <w:jc w:val="center"/>
        <w:tblLayout w:type="fixed"/>
        <w:tblLook w:firstColumn="1" w:firstRow="1" w:lastColumn="0" w:lastRow="0" w:noHBand="0" w:noVBand="1" w:val="04A0"/>
        <w:tblInd w:w="120" w:type="dxa"/>
        <w:tblBorders>
          <w:top w:val="single" w:sz="6" w:color="CBD5D9"/>
          <w:left w:val="single" w:sz="6" w:color="CBD5D9"/>
          <w:bottom w:val="single" w:sz="6" w:color="CBD5D9"/>
          <w:right w:val="single" w:sz="6" w:color="CBD5D9"/>
          <w:insideH w:val="single" w:sz="6" w:color="CBD5D9"/>
          <w:insideV w:val="single" w:sz="6" w:color="CBD5D9"/>
        </w:tblBorders>
      </w:tblPr>
      <w:tblGrid>
        <w:gridCol w:w="2088"/>
        <w:gridCol w:w="7272"/>
      </w:tblGrid>
      <w:tr>
        <w:trPr>
          <w:tblHeader w:val="true"/>
        </w:trPr>
        <w:tc>
          <w:tcPr>
            <w:tcW w:type="dxa" w:w="2088"/>
            <w:tcMar>
              <w:top w:w="100" w:type="dxa"/>
              <w:start w:w="120" w:type="dxa"/>
              <w:bottom w:w="100" w:type="dxa"/>
              <w:end w:w="120" w:type="dxa"/>
            </w:tcMar>
            <w:vAlign w:val="center"/>
            <w:shd w:fill="17324D"/>
          </w:tcPr>
          <w:p>
            <w:pPr>
              <w:jc w:val="center"/>
            </w:pPr>
            <w:r>
              <w:rPr>
                <w:b/>
                <w:color w:val="FFFFFF"/>
                <w:sz w:val="18"/>
              </w:rPr>
              <w:t>Performance expectation</w:t>
            </w:r>
          </w:p>
        </w:tc>
        <w:tc>
          <w:tcPr>
            <w:tcW w:type="dxa" w:w="7272"/>
            <w:tcMar>
              <w:top w:w="100" w:type="dxa"/>
              <w:start w:w="120" w:type="dxa"/>
              <w:bottom w:w="100" w:type="dxa"/>
              <w:end w:w="120" w:type="dxa"/>
            </w:tcMar>
            <w:vAlign w:val="center"/>
            <w:shd w:fill="17324D"/>
          </w:tcPr>
          <w:p>
            <w:pPr>
              <w:jc w:val="center"/>
            </w:pPr>
            <w:r>
              <w:rPr>
                <w:b/>
                <w:color w:val="FFFFFF"/>
                <w:sz w:val="18"/>
              </w:rPr>
              <w:t>Unit evidence</w:t>
            </w:r>
          </w:p>
        </w:tc>
      </w:tr>
      <w:tr>
        <w:tc>
          <w:tcPr>
            <w:tcW w:type="dxa" w:w="2088"/>
          </w:tcPr>
          <w:p>
            <w:pPr>
              <w:jc w:val="center"/>
            </w:pPr>
            <w:r>
              <w:rPr>
                <w:sz w:val="18"/>
              </w:rPr>
              <w:t>HS-ESS3-4</w:t>
            </w:r>
          </w:p>
        </w:tc>
        <w:tc>
          <w:tcPr>
            <w:tcW w:type="dxa" w:w="7272"/>
          </w:tcPr>
          <w:p>
            <w:pPr>
              <w:jc w:val="left"/>
            </w:pPr>
            <w:r>
              <w:rPr>
                <w:sz w:val="18"/>
              </w:rPr>
              <w:t>Students evaluate a monitoring technology and refine a management response while considering evidence, constraints, and trade-offs.</w:t>
            </w:r>
          </w:p>
        </w:tc>
      </w:tr>
      <w:tr>
        <w:tc>
          <w:tcPr>
            <w:tcW w:type="dxa" w:w="2088"/>
            <w:shd w:fill="F8FAFA"/>
          </w:tcPr>
          <w:p>
            <w:pPr>
              <w:jc w:val="center"/>
            </w:pPr>
            <w:r>
              <w:rPr>
                <w:sz w:val="18"/>
              </w:rPr>
              <w:t>HS-ESS3-6</w:t>
            </w:r>
          </w:p>
        </w:tc>
        <w:tc>
          <w:tcPr>
            <w:tcW w:type="dxa" w:w="7272"/>
            <w:shd w:fill="F8FAFA"/>
          </w:tcPr>
          <w:p>
            <w:pPr>
              <w:jc w:val="left"/>
            </w:pPr>
            <w:r>
              <w:rPr>
                <w:sz w:val="18"/>
              </w:rPr>
              <w:t>Students use mapped and quantitative representations to support claims about interactions among water, vegetation, and human management.</w:t>
            </w:r>
          </w:p>
        </w:tc>
      </w:tr>
      <w:tr>
        <w:tc>
          <w:tcPr>
            <w:tcW w:type="dxa" w:w="2088"/>
          </w:tcPr>
          <w:p>
            <w:pPr>
              <w:jc w:val="center"/>
            </w:pPr>
            <w:r>
              <w:rPr>
                <w:sz w:val="18"/>
              </w:rPr>
              <w:t>HS-LS2-7</w:t>
            </w:r>
          </w:p>
        </w:tc>
        <w:tc>
          <w:tcPr>
            <w:tcW w:type="dxa" w:w="7272"/>
          </w:tcPr>
          <w:p>
            <w:pPr>
              <w:jc w:val="left"/>
            </w:pPr>
            <w:r>
              <w:rPr>
                <w:sz w:val="18"/>
              </w:rPr>
              <w:t>Students propose and evaluate a solution that reduces impacts on ecosystems or biodiversity.</w:t>
            </w:r>
          </w:p>
        </w:tc>
      </w:tr>
    </w:tbl>
    <w:p>
      <w:pPr>
        <w:spacing w:after="0"/>
      </w:pPr>
    </w:p>
    <w:p>
      <w:pPr>
        <w:pStyle w:val="Heading2"/>
      </w:pPr>
      <w:r>
        <w:t>Introductory undergraduate competencies</w:t>
      </w:r>
    </w:p>
    <w:p>
      <w:pPr>
        <w:pStyle w:val="ListBullet"/>
      </w:pPr>
      <w:r>
        <w:t>Remote-sensing measurement literacy</w:t>
      </w:r>
    </w:p>
    <w:p>
      <w:pPr>
        <w:pStyle w:val="ListBullet"/>
      </w:pPr>
      <w:r>
        <w:t>Sensor and scale selection</w:t>
      </w:r>
    </w:p>
    <w:p>
      <w:pPr>
        <w:pStyle w:val="ListBullet"/>
      </w:pPr>
      <w:r>
        <w:t>Geospatial data interpretation</w:t>
      </w:r>
    </w:p>
    <w:p>
      <w:pPr>
        <w:pStyle w:val="ListBullet"/>
      </w:pPr>
      <w:r>
        <w:t>Quantitative index calculation</w:t>
      </w:r>
    </w:p>
    <w:p>
      <w:pPr>
        <w:pStyle w:val="ListBullet"/>
      </w:pPr>
      <w:r>
        <w:t>Sampling and validation design</w:t>
      </w:r>
    </w:p>
    <w:p>
      <w:pPr>
        <w:pStyle w:val="ListBullet"/>
      </w:pPr>
      <w:r>
        <w:t>Uncertainty and ethics</w:t>
      </w:r>
    </w:p>
    <w:p>
      <w:pPr>
        <w:pStyle w:val="ListBullet"/>
      </w:pPr>
      <w:r>
        <w:t>Scientific and technical communication</w:t>
      </w:r>
    </w:p>
    <w:p>
      <w:pPr>
        <w:pStyle w:val="Heading1"/>
      </w:pPr>
      <w:r>
        <w:t>Unit learning objectives</w:t>
      </w:r>
    </w:p>
    <w:p>
      <w:pPr>
        <w:pStyle w:val="ListBullet"/>
      </w:pPr>
      <w:r>
        <w:t>Define remote sensing and distinguish remote observations from direct field measurements.</w:t>
      </w:r>
    </w:p>
    <w:p>
      <w:pPr>
        <w:pStyle w:val="ListBullet"/>
      </w:pPr>
      <w:r>
        <w:t>Explain an sUAS environmental data workflow from question through decision.</w:t>
      </w:r>
    </w:p>
    <w:p>
      <w:pPr>
        <w:pStyle w:val="ListBullet"/>
      </w:pPr>
      <w:r>
        <w:t>Differentiate RGB, multispectral, thermal, and lidar sensors by what they measure.</w:t>
      </w:r>
    </w:p>
    <w:p>
      <w:pPr>
        <w:pStyle w:val="ListBullet"/>
      </w:pPr>
      <w:r>
        <w:t>Explain spatial, spectral, temporal, and radiometric resolution and their trade-offs.</w:t>
      </w:r>
    </w:p>
    <w:p>
      <w:pPr>
        <w:pStyle w:val="ListBullet"/>
      </w:pPr>
      <w:r>
        <w:t>Calculate NDVI and interpret it within ecological context.</w:t>
      </w:r>
    </w:p>
    <w:p>
      <w:pPr>
        <w:pStyle w:val="ListBullet"/>
      </w:pPr>
      <w:r>
        <w:t>Distinguish photographs, orthomosaics, point clouds, surface models, and terrain models.</w:t>
      </w:r>
    </w:p>
    <w:p>
      <w:pPr>
        <w:pStyle w:val="ListBullet"/>
      </w:pPr>
      <w:r>
        <w:t>Compare drone, satellite, crewed-aircraft, and field approaches.</w:t>
      </w:r>
    </w:p>
    <w:p>
      <w:pPr>
        <w:pStyle w:val="ListBullet"/>
      </w:pPr>
      <w:r>
        <w:t>Analyze imagery and field observations to develop an evidence-based environmental recommendation.</w:t>
      </w:r>
    </w:p>
    <w:p>
      <w:pPr>
        <w:pStyle w:val="ListBullet"/>
      </w:pPr>
      <w:r>
        <w:t>Evaluate uncertainty, accuracy, privacy, wildlife, safety, and regulatory considerations.</w:t>
      </w:r>
    </w:p>
    <w:p>
      <w:pPr>
        <w:pStyle w:val="ListBullet"/>
      </w:pPr>
      <w:r>
        <w:t>Communicate a calibrated claim using maps, quantitative evidence, limitations, and next steps.</w:t>
      </w:r>
    </w:p>
    <w:p>
      <w:pPr>
        <w:pStyle w:val="Heading1"/>
      </w:pPr>
      <w:r>
        <w:t>Assessment system</w:t>
      </w:r>
    </w:p>
    <w:p>
      <w:r>
        <w:t>Daily low-stakes evidence supports feedback and reteaching. The recommended summative model is 70% capstone investigation and 30% individual concept assessment. Teachers may adjust weighting while retaining separate team and individual evidence.</w:t>
      </w:r>
    </w:p>
    <w:tbl>
      <w:tblPr>
        <w:tblW w:type="dxa" w:w="9360"/>
        <w:jc w:val="center"/>
        <w:tblLayout w:type="fixed"/>
        <w:tblLook w:firstColumn="1" w:firstRow="1" w:lastColumn="0" w:lastRow="0" w:noHBand="0" w:noVBand="1" w:val="04A0"/>
        <w:tblInd w:w="120" w:type="dxa"/>
        <w:tblBorders>
          <w:top w:val="single" w:sz="6" w:color="CBD5D9"/>
          <w:left w:val="single" w:sz="6" w:color="CBD5D9"/>
          <w:bottom w:val="single" w:sz="6" w:color="CBD5D9"/>
          <w:right w:val="single" w:sz="6" w:color="CBD5D9"/>
          <w:insideH w:val="single" w:sz="6" w:color="CBD5D9"/>
          <w:insideV w:val="single" w:sz="6" w:color="CBD5D9"/>
        </w:tblBorders>
      </w:tblPr>
      <w:tblGrid>
        <w:gridCol w:w="2592"/>
        <w:gridCol w:w="4680"/>
        <w:gridCol w:w="2088"/>
      </w:tblGrid>
      <w:tr>
        <w:trPr>
          <w:tblHeader w:val="true"/>
        </w:trPr>
        <w:tc>
          <w:tcPr>
            <w:tcW w:type="dxa" w:w="2592"/>
            <w:tcMar>
              <w:top w:w="100" w:type="dxa"/>
              <w:start w:w="120" w:type="dxa"/>
              <w:bottom w:w="100" w:type="dxa"/>
              <w:end w:w="120" w:type="dxa"/>
            </w:tcMar>
            <w:vAlign w:val="center"/>
            <w:shd w:fill="17324D"/>
          </w:tcPr>
          <w:p>
            <w:pPr>
              <w:jc w:val="center"/>
            </w:pPr>
            <w:r>
              <w:rPr>
                <w:b/>
                <w:color w:val="FFFFFF"/>
                <w:sz w:val="18"/>
              </w:rPr>
              <w:t>Evidence</w:t>
            </w:r>
          </w:p>
        </w:tc>
        <w:tc>
          <w:tcPr>
            <w:tcW w:type="dxa" w:w="4680"/>
            <w:tcMar>
              <w:top w:w="100" w:type="dxa"/>
              <w:start w:w="120" w:type="dxa"/>
              <w:bottom w:w="100" w:type="dxa"/>
              <w:end w:w="120" w:type="dxa"/>
            </w:tcMar>
            <w:vAlign w:val="center"/>
            <w:shd w:fill="17324D"/>
          </w:tcPr>
          <w:p>
            <w:pPr>
              <w:jc w:val="center"/>
            </w:pPr>
            <w:r>
              <w:rPr>
                <w:b/>
                <w:color w:val="FFFFFF"/>
                <w:sz w:val="18"/>
              </w:rPr>
              <w:t>Purpose</w:t>
            </w:r>
          </w:p>
        </w:tc>
        <w:tc>
          <w:tcPr>
            <w:tcW w:type="dxa" w:w="2088"/>
            <w:tcMar>
              <w:top w:w="100" w:type="dxa"/>
              <w:start w:w="120" w:type="dxa"/>
              <w:bottom w:w="100" w:type="dxa"/>
              <w:end w:w="120" w:type="dxa"/>
            </w:tcMar>
            <w:vAlign w:val="center"/>
            <w:shd w:fill="17324D"/>
          </w:tcPr>
          <w:p>
            <w:pPr>
              <w:jc w:val="center"/>
            </w:pPr>
            <w:r>
              <w:rPr>
                <w:b/>
                <w:color w:val="FFFFFF"/>
                <w:sz w:val="18"/>
              </w:rPr>
              <w:t>Scoring</w:t>
            </w:r>
          </w:p>
        </w:tc>
      </w:tr>
      <w:tr>
        <w:tc>
          <w:tcPr>
            <w:tcW w:type="dxa" w:w="2592"/>
          </w:tcPr>
          <w:p>
            <w:pPr>
              <w:jc w:val="left"/>
            </w:pPr>
            <w:r>
              <w:rPr>
                <w:sz w:val="18"/>
              </w:rPr>
              <w:t>Daily workbook and exit checks</w:t>
            </w:r>
          </w:p>
        </w:tc>
        <w:tc>
          <w:tcPr>
            <w:tcW w:type="dxa" w:w="4680"/>
          </w:tcPr>
          <w:p>
            <w:pPr>
              <w:jc w:val="left"/>
            </w:pPr>
            <w:r>
              <w:rPr>
                <w:sz w:val="18"/>
              </w:rPr>
              <w:t>Find misconceptions early; inform next-day instruction</w:t>
            </w:r>
          </w:p>
        </w:tc>
        <w:tc>
          <w:tcPr>
            <w:tcW w:type="dxa" w:w="2088"/>
          </w:tcPr>
          <w:p>
            <w:pPr>
              <w:jc w:val="left"/>
            </w:pPr>
            <w:r>
              <w:rPr>
                <w:sz w:val="18"/>
              </w:rPr>
              <w:t>Completion plus targeted feedback</w:t>
            </w:r>
          </w:p>
        </w:tc>
      </w:tr>
      <w:tr>
        <w:tc>
          <w:tcPr>
            <w:tcW w:type="dxa" w:w="2592"/>
            <w:shd w:fill="F8FAFA"/>
          </w:tcPr>
          <w:p>
            <w:pPr>
              <w:jc w:val="left"/>
            </w:pPr>
            <w:r>
              <w:rPr>
                <w:sz w:val="18"/>
              </w:rPr>
              <w:t>Capstone environmental assessment</w:t>
            </w:r>
          </w:p>
        </w:tc>
        <w:tc>
          <w:tcPr>
            <w:tcW w:type="dxa" w:w="4680"/>
            <w:shd w:fill="F8FAFA"/>
          </w:tcPr>
          <w:p>
            <w:pPr>
              <w:jc w:val="left"/>
            </w:pPr>
            <w:r>
              <w:rPr>
                <w:sz w:val="18"/>
              </w:rPr>
              <w:t>Integrate sensor choice, data analysis, uncertainty, and recommendation</w:t>
            </w:r>
          </w:p>
        </w:tc>
        <w:tc>
          <w:tcPr>
            <w:tcW w:type="dxa" w:w="2088"/>
            <w:shd w:fill="F8FAFA"/>
          </w:tcPr>
          <w:p>
            <w:pPr>
              <w:jc w:val="left"/>
            </w:pPr>
            <w:r>
              <w:rPr>
                <w:sz w:val="18"/>
              </w:rPr>
              <w:t>100-point analytic rubric; suggested 70%</w:t>
            </w:r>
          </w:p>
        </w:tc>
      </w:tr>
      <w:tr>
        <w:tc>
          <w:tcPr>
            <w:tcW w:type="dxa" w:w="2592"/>
          </w:tcPr>
          <w:p>
            <w:pPr>
              <w:jc w:val="left"/>
            </w:pPr>
            <w:r>
              <w:rPr>
                <w:sz w:val="18"/>
              </w:rPr>
              <w:t>Individual concept assessment</w:t>
            </w:r>
          </w:p>
        </w:tc>
        <w:tc>
          <w:tcPr>
            <w:tcW w:type="dxa" w:w="4680"/>
          </w:tcPr>
          <w:p>
            <w:pPr>
              <w:jc w:val="left"/>
            </w:pPr>
            <w:r>
              <w:rPr>
                <w:sz w:val="18"/>
              </w:rPr>
              <w:t>Confirm independent conceptual and quantitative mastery</w:t>
            </w:r>
          </w:p>
        </w:tc>
        <w:tc>
          <w:tcPr>
            <w:tcW w:type="dxa" w:w="2088"/>
          </w:tcPr>
          <w:p>
            <w:pPr>
              <w:jc w:val="left"/>
            </w:pPr>
            <w:r>
              <w:rPr>
                <w:sz w:val="18"/>
              </w:rPr>
              <w:t>30 points; suggested 30%</w:t>
            </w:r>
          </w:p>
        </w:tc>
      </w:tr>
    </w:tbl>
    <w:p>
      <w:pPr>
        <w:spacing w:after="0"/>
      </w:pPr>
    </w:p>
    <w:p>
      <w:pPr>
        <w:pStyle w:val="Heading1"/>
      </w:pPr>
      <w:r>
        <w:t>Materials and technology</w:t>
      </w:r>
    </w:p>
    <w:p>
      <w:pPr>
        <w:pStyle w:val="ListBullet"/>
      </w:pPr>
      <w:r>
        <w:t>Required: printed or digital Student Workbook, calculator, maps, sample table, and presentation/display access.</w:t>
      </w:r>
    </w:p>
    <w:p>
      <w:pPr>
        <w:pStyle w:val="ListBullet"/>
      </w:pPr>
      <w:r>
        <w:t>Optional: GIS viewer, spreadsheet, drone hardware for an instructor-led show-and-tell, sample point cloud, or local imagery.</w:t>
      </w:r>
    </w:p>
    <w:p>
      <w:pPr>
        <w:pStyle w:val="ListBullet"/>
      </w:pPr>
      <w:r>
        <w:t>Not required: drone flight, FAA certification, paid processing software, student accounts, or personally identifiable geolocation data.</w:t>
      </w:r>
    </w:p>
    <w:p>
      <w:r>
        <w:drawing>
          <wp:inline xmlns:a="http://schemas.openxmlformats.org/drawingml/2006/main" xmlns:pic="http://schemas.openxmlformats.org/drawingml/2006/picture">
            <wp:extent cx="5852160" cy="2028749"/>
            <wp:docPr id="1" name="Picture 1" descr="Workflow from environmental question through sensor planning, overlapping image collection, photogrammetry, GIS analysis, and decision." title="drone remote sensing workflow"/>
            <wp:cNvGraphicFramePr>
              <a:graphicFrameLocks noChangeAspect="1"/>
            </wp:cNvGraphicFramePr>
            <a:graphic>
              <a:graphicData uri="http://schemas.openxmlformats.org/drawingml/2006/picture">
                <pic:pic>
                  <pic:nvPicPr>
                    <pic:cNvPr id="0" name="drone_remote_sensing_workflow.png"/>
                    <pic:cNvPicPr/>
                  </pic:nvPicPr>
                  <pic:blipFill>
                    <a:blip r:embed="rId11"/>
                    <a:stretch>
                      <a:fillRect/>
                    </a:stretch>
                  </pic:blipFill>
                  <pic:spPr>
                    <a:xfrm>
                      <a:off x="0" y="0"/>
                      <a:ext cx="5852160" cy="2028749"/>
                    </a:xfrm>
                    <a:prstGeom prst="rect"/>
                  </pic:spPr>
                </pic:pic>
              </a:graphicData>
            </a:graphic>
          </wp:inline>
        </w:drawing>
      </w:r>
    </w:p>
    <w:p>
      <w:pPr>
        <w:pStyle w:val="Caption"/>
      </w:pPr>
      <w:r>
        <w:t>Figure 1. Environmental drone remote-sensing workflow. Products are selected and interpreted in response to a scientific question.</w:t>
      </w:r>
    </w:p>
    <w:p>
      <w:r>
        <w:br w:type="page"/>
      </w:r>
    </w:p>
    <w:p>
      <w:pPr>
        <w:pStyle w:val="Heading1"/>
      </w:pPr>
      <w:r>
        <w:t>Day 1: Seeing the Environment from Above</w:t>
      </w:r>
    </w:p>
    <w:tbl>
      <w:tblPr>
        <w:tblW w:type="dxa" w:w="9360"/>
        <w:tblLook w:firstColumn="1" w:firstRow="1" w:lastColumn="0" w:lastRow="0" w:noHBand="0" w:noVBand="1" w:val="04A0"/>
        <w:tblLayout w:type="fixed"/>
        <w:tblInd w:w="120" w:type="dxa"/>
        <w:tblBorders>
          <w:top w:val="single" w:sz="6" w:color="BFD7D2"/>
          <w:left w:val="single" w:sz="6" w:color="BFD7D2"/>
          <w:bottom w:val="single" w:sz="6" w:color="BFD7D2"/>
          <w:right w:val="single" w:sz="6" w:color="BFD7D2"/>
          <w:insideH w:val="single" w:sz="6" w:color="BFD7D2"/>
          <w:insideV w:val="single" w:sz="6" w:color="BFD7D2"/>
        </w:tblBorders>
      </w:tblPr>
      <w:tblGrid>
        <w:gridCol w:w="9360"/>
      </w:tblGrid>
      <w:tr>
        <w:tc>
          <w:tcPr>
            <w:tcW w:type="dxa" w:w="9360"/>
            <w:tcMar>
              <w:top w:w="100" w:type="dxa"/>
              <w:start w:w="120" w:type="dxa"/>
              <w:bottom w:w="100" w:type="dxa"/>
              <w:end w:w="120" w:type="dxa"/>
            </w:tcMar>
            <w:vAlign w:val="center"/>
            <w:shd w:fill="EAF3F1"/>
          </w:tcPr>
          <w:p>
            <w:r>
              <w:rPr>
                <w:b/>
                <w:color w:val="247B78"/>
              </w:rPr>
              <w:t xml:space="preserve">Essential question  </w:t>
            </w:r>
            <w:r>
              <w:t>What can an aerial view reveal that a ground-level view may miss?</w:t>
            </w:r>
          </w:p>
        </w:tc>
      </w:tr>
    </w:tbl>
    <w:p>
      <w:pPr>
        <w:spacing w:after="0"/>
      </w:pPr>
    </w:p>
    <w:p>
      <w:pPr>
        <w:pStyle w:val="Heading2"/>
      </w:pPr>
      <w:r>
        <w:t>Measurable objectives</w:t>
      </w:r>
    </w:p>
    <w:p>
      <w:pPr>
        <w:pStyle w:val="ListBullet"/>
      </w:pPr>
      <w:r>
        <w:t>Distinguish direct field measurement from remote sensing.</w:t>
      </w:r>
    </w:p>
    <w:p>
      <w:pPr>
        <w:pStyle w:val="ListBullet"/>
      </w:pPr>
      <w:r>
        <w:t>Separate observation from interpretation in aerial imagery.</w:t>
      </w:r>
    </w:p>
    <w:p>
      <w:pPr>
        <w:pStyle w:val="ListBullet"/>
      </w:pPr>
      <w:r>
        <w:t>Explain one advantage and one limitation of observing environmental systems from above.</w:t>
      </w:r>
    </w:p>
    <w:p>
      <w:pPr>
        <w:pStyle w:val="Heading2"/>
      </w:pPr>
      <w:r>
        <w:t>Preparation and materials</w:t>
      </w:r>
    </w:p>
    <w:p>
      <w:r>
        <w:t>Student Workbook Day 1; two aerial images or the simulated natural-color orthomosaic; projector or printed copies; sticky notes.</w:t>
      </w:r>
    </w:p>
    <w:p>
      <w:pPr>
        <w:pStyle w:val="Heading2"/>
      </w:pPr>
      <w:r>
        <w:t>Suggested 60-minute sequence</w:t>
      </w:r>
    </w:p>
    <w:tbl>
      <w:tblPr>
        <w:tblW w:type="dxa" w:w="9360"/>
        <w:jc w:val="center"/>
        <w:tblLayout w:type="fixed"/>
        <w:tblLook w:firstColumn="1" w:firstRow="1" w:lastColumn="0" w:lastRow="0" w:noHBand="0" w:noVBand="1" w:val="04A0"/>
        <w:tblInd w:w="120" w:type="dxa"/>
        <w:tblBorders>
          <w:top w:val="single" w:sz="6" w:color="CBD5D9"/>
          <w:left w:val="single" w:sz="6" w:color="CBD5D9"/>
          <w:bottom w:val="single" w:sz="6" w:color="CBD5D9"/>
          <w:right w:val="single" w:sz="6" w:color="CBD5D9"/>
          <w:insideH w:val="single" w:sz="6" w:color="CBD5D9"/>
          <w:insideV w:val="single" w:sz="6" w:color="CBD5D9"/>
        </w:tblBorders>
      </w:tblPr>
      <w:tblGrid>
        <w:gridCol w:w="1656"/>
        <w:gridCol w:w="7704"/>
      </w:tblGrid>
      <w:tr>
        <w:trPr>
          <w:tblHeader w:val="true"/>
        </w:trPr>
        <w:tc>
          <w:tcPr>
            <w:tcW w:type="dxa" w:w="1656"/>
            <w:tcMar>
              <w:top w:w="100" w:type="dxa"/>
              <w:start w:w="120" w:type="dxa"/>
              <w:bottom w:w="100" w:type="dxa"/>
              <w:end w:w="120" w:type="dxa"/>
            </w:tcMar>
            <w:vAlign w:val="center"/>
            <w:shd w:fill="17324D"/>
          </w:tcPr>
          <w:p>
            <w:pPr>
              <w:jc w:val="center"/>
            </w:pPr>
            <w:r>
              <w:rPr>
                <w:b/>
                <w:color w:val="FFFFFF"/>
                <w:sz w:val="18"/>
              </w:rPr>
              <w:t>Minutes</w:t>
            </w:r>
          </w:p>
        </w:tc>
        <w:tc>
          <w:tcPr>
            <w:tcW w:type="dxa" w:w="7704"/>
            <w:tcMar>
              <w:top w:w="100" w:type="dxa"/>
              <w:start w:w="120" w:type="dxa"/>
              <w:bottom w:w="100" w:type="dxa"/>
              <w:end w:w="120" w:type="dxa"/>
            </w:tcMar>
            <w:vAlign w:val="center"/>
            <w:shd w:fill="17324D"/>
          </w:tcPr>
          <w:p>
            <w:pPr>
              <w:jc w:val="center"/>
            </w:pPr>
            <w:r>
              <w:rPr>
                <w:b/>
                <w:color w:val="FFFFFF"/>
                <w:sz w:val="18"/>
              </w:rPr>
              <w:t>Learning experience</w:t>
            </w:r>
          </w:p>
        </w:tc>
      </w:tr>
      <w:tr>
        <w:tc>
          <w:tcPr>
            <w:tcW w:type="dxa" w:w="1656"/>
          </w:tcPr>
          <w:p>
            <w:pPr>
              <w:jc w:val="center"/>
            </w:pPr>
            <w:r>
              <w:rPr>
                <w:sz w:val="18"/>
              </w:rPr>
              <w:t>0-7</w:t>
            </w:r>
          </w:p>
        </w:tc>
        <w:tc>
          <w:tcPr>
            <w:tcW w:type="dxa" w:w="7704"/>
          </w:tcPr>
          <w:p>
            <w:pPr>
              <w:jc w:val="left"/>
            </w:pPr>
            <w:r>
              <w:rPr>
                <w:sz w:val="18"/>
              </w:rPr>
              <w:t>Notice/Wonder image hook</w:t>
            </w:r>
          </w:p>
        </w:tc>
      </w:tr>
      <w:tr>
        <w:tc>
          <w:tcPr>
            <w:tcW w:type="dxa" w:w="1656"/>
            <w:shd w:fill="F8FAFA"/>
          </w:tcPr>
          <w:p>
            <w:pPr>
              <w:jc w:val="center"/>
            </w:pPr>
            <w:r>
              <w:rPr>
                <w:sz w:val="18"/>
              </w:rPr>
              <w:t>7-20</w:t>
            </w:r>
          </w:p>
        </w:tc>
        <w:tc>
          <w:tcPr>
            <w:tcW w:type="dxa" w:w="7704"/>
            <w:shd w:fill="F8FAFA"/>
          </w:tcPr>
          <w:p>
            <w:pPr>
              <w:jc w:val="left"/>
            </w:pPr>
            <w:r>
              <w:rPr>
                <w:sz w:val="18"/>
              </w:rPr>
              <w:t>Mini-lesson: platforms; passive and active sensing</w:t>
            </w:r>
          </w:p>
        </w:tc>
      </w:tr>
      <w:tr>
        <w:tc>
          <w:tcPr>
            <w:tcW w:type="dxa" w:w="1656"/>
          </w:tcPr>
          <w:p>
            <w:pPr>
              <w:jc w:val="center"/>
            </w:pPr>
            <w:r>
              <w:rPr>
                <w:sz w:val="18"/>
              </w:rPr>
              <w:t>20-42</w:t>
            </w:r>
          </w:p>
        </w:tc>
        <w:tc>
          <w:tcPr>
            <w:tcW w:type="dxa" w:w="7704"/>
          </w:tcPr>
          <w:p>
            <w:pPr>
              <w:jc w:val="left"/>
            </w:pPr>
            <w:r>
              <w:rPr>
                <w:sz w:val="18"/>
              </w:rPr>
              <w:t>Observation versus interpretation investigation</w:t>
            </w:r>
          </w:p>
        </w:tc>
      </w:tr>
      <w:tr>
        <w:tc>
          <w:tcPr>
            <w:tcW w:type="dxa" w:w="1656"/>
            <w:shd w:fill="F8FAFA"/>
          </w:tcPr>
          <w:p>
            <w:pPr>
              <w:jc w:val="center"/>
            </w:pPr>
            <w:r>
              <w:rPr>
                <w:sz w:val="18"/>
              </w:rPr>
              <w:t>42-52</w:t>
            </w:r>
          </w:p>
        </w:tc>
        <w:tc>
          <w:tcPr>
            <w:tcW w:type="dxa" w:w="7704"/>
            <w:shd w:fill="F8FAFA"/>
          </w:tcPr>
          <w:p>
            <w:pPr>
              <w:jc w:val="left"/>
            </w:pPr>
            <w:r>
              <w:rPr>
                <w:sz w:val="18"/>
              </w:rPr>
              <w:t>Pair critique using evidence language</w:t>
            </w:r>
          </w:p>
        </w:tc>
      </w:tr>
      <w:tr>
        <w:tc>
          <w:tcPr>
            <w:tcW w:type="dxa" w:w="1656"/>
          </w:tcPr>
          <w:p>
            <w:pPr>
              <w:jc w:val="center"/>
            </w:pPr>
            <w:r>
              <w:rPr>
                <w:sz w:val="18"/>
              </w:rPr>
              <w:t>52-60</w:t>
            </w:r>
          </w:p>
        </w:tc>
        <w:tc>
          <w:tcPr>
            <w:tcW w:type="dxa" w:w="7704"/>
          </w:tcPr>
          <w:p>
            <w:pPr>
              <w:jc w:val="center"/>
            </w:pPr>
            <w:r>
              <w:rPr>
                <w:sz w:val="18"/>
              </w:rPr>
              <w:t>Exit ticket</w:t>
            </w:r>
          </w:p>
        </w:tc>
      </w:tr>
    </w:tbl>
    <w:p>
      <w:pPr>
        <w:spacing w:after="0"/>
      </w:pPr>
    </w:p>
    <w:p>
      <w:pPr>
        <w:pStyle w:val="Heading2"/>
      </w:pPr>
      <w:r>
        <w:t>Instructor moves</w:t>
      </w:r>
    </w:p>
    <w:p>
      <w:r>
        <w:t>Model a neutral observation first (color, shape, texture, pattern), then an interpretation. Press students to name visible evidence before causes. Do not confirm a single cause from imagery alone.</w:t>
      </w:r>
    </w:p>
    <w:p>
      <w:pPr>
        <w:pStyle w:val="Heading2"/>
      </w:pPr>
      <w:r>
        <w:t>Formative evidence</w:t>
      </w:r>
    </w:p>
    <w:p>
      <w:r>
        <w:t>Name one environmental phenomenon suited to remote observation and explain why. Success requires a phenomenon, a scale/pattern advantage, and a limitation or needed ground check.</w:t>
      </w:r>
    </w:p>
    <w:p>
      <w:pPr>
        <w:pStyle w:val="Heading2"/>
      </w:pPr>
      <w:r>
        <w:t>Misconception to surface</w:t>
      </w:r>
    </w:p>
    <w:p>
      <w:r>
        <w:t>An aerial image is not automatically a map and a visible pattern is not proof of its cause.</w:t>
      </w:r>
    </w:p>
    <w:p>
      <w:pPr>
        <w:pStyle w:val="Heading2"/>
      </w:pPr>
      <w:r>
        <w:t>Access and extension</w:t>
      </w:r>
    </w:p>
    <w:p>
      <w:r>
        <w:t>Offer a high-contrast print and an observation word bank. Allow oral dictation. Extension: compare what a drone, aircraft, and satellite could each observe.</w:t>
      </w:r>
    </w:p>
    <w:p>
      <w:r>
        <w:br w:type="page"/>
      </w:r>
    </w:p>
    <w:p>
      <w:pPr>
        <w:pStyle w:val="Heading1"/>
      </w:pPr>
      <w:r>
        <w:t>Day 2: A Drone as a Scientific Measurement System</w:t>
      </w:r>
    </w:p>
    <w:tbl>
      <w:tblPr>
        <w:tblW w:type="dxa" w:w="9360"/>
        <w:tblLook w:firstColumn="1" w:firstRow="1" w:lastColumn="0" w:lastRow="0" w:noHBand="0" w:noVBand="1" w:val="04A0"/>
        <w:tblLayout w:type="fixed"/>
        <w:tblInd w:w="120" w:type="dxa"/>
        <w:tblBorders>
          <w:top w:val="single" w:sz="6" w:color="BFD7D2"/>
          <w:left w:val="single" w:sz="6" w:color="BFD7D2"/>
          <w:bottom w:val="single" w:sz="6" w:color="BFD7D2"/>
          <w:right w:val="single" w:sz="6" w:color="BFD7D2"/>
          <w:insideH w:val="single" w:sz="6" w:color="BFD7D2"/>
          <w:insideV w:val="single" w:sz="6" w:color="BFD7D2"/>
        </w:tblBorders>
      </w:tblPr>
      <w:tblGrid>
        <w:gridCol w:w="9360"/>
      </w:tblGrid>
      <w:tr>
        <w:tc>
          <w:tcPr>
            <w:tcW w:type="dxa" w:w="9360"/>
            <w:tcMar>
              <w:top w:w="100" w:type="dxa"/>
              <w:start w:w="120" w:type="dxa"/>
              <w:bottom w:w="100" w:type="dxa"/>
              <w:end w:w="120" w:type="dxa"/>
            </w:tcMar>
            <w:vAlign w:val="center"/>
            <w:shd w:fill="EAF3F1"/>
          </w:tcPr>
          <w:p>
            <w:r>
              <w:rPr>
                <w:b/>
                <w:color w:val="247B78"/>
              </w:rPr>
              <w:t xml:space="preserve">Essential question  </w:t>
            </w:r>
            <w:r>
              <w:t>How does a drone become more than a flying camera?</w:t>
            </w:r>
          </w:p>
        </w:tc>
      </w:tr>
    </w:tbl>
    <w:p>
      <w:pPr>
        <w:spacing w:after="0"/>
      </w:pPr>
    </w:p>
    <w:p>
      <w:pPr>
        <w:pStyle w:val="Heading2"/>
      </w:pPr>
      <w:r>
        <w:t>Measurable objectives</w:t>
      </w:r>
    </w:p>
    <w:p>
      <w:pPr>
        <w:pStyle w:val="ListBullet"/>
      </w:pPr>
      <w:r>
        <w:t>Identify the aircraft, payload, positioning, planning, processing, and analysis components of an sUAS workflow.</w:t>
      </w:r>
    </w:p>
    <w:p>
      <w:pPr>
        <w:pStyle w:val="ListBullet"/>
      </w:pPr>
      <w:r>
        <w:t>Sequence a defensible environmental data workflow.</w:t>
      </w:r>
    </w:p>
    <w:p>
      <w:pPr>
        <w:pStyle w:val="ListBullet"/>
      </w:pPr>
      <w:r>
        <w:t>Match mission requirements to equipment and data needs.</w:t>
      </w:r>
    </w:p>
    <w:p>
      <w:pPr>
        <w:pStyle w:val="Heading2"/>
      </w:pPr>
      <w:r>
        <w:t>Preparation and materials</w:t>
      </w:r>
    </w:p>
    <w:p>
      <w:r>
        <w:t>Workflow visual; Day 2 mission brief; system-component cards; optional drone or photo for demonstration only.</w:t>
      </w:r>
    </w:p>
    <w:p>
      <w:pPr>
        <w:pStyle w:val="Heading2"/>
      </w:pPr>
      <w:r>
        <w:t>Suggested 60-minute sequence</w:t>
      </w:r>
    </w:p>
    <w:tbl>
      <w:tblPr>
        <w:tblW w:type="dxa" w:w="9360"/>
        <w:jc w:val="center"/>
        <w:tblLayout w:type="fixed"/>
        <w:tblLook w:firstColumn="1" w:firstRow="1" w:lastColumn="0" w:lastRow="0" w:noHBand="0" w:noVBand="1" w:val="04A0"/>
        <w:tblInd w:w="120" w:type="dxa"/>
        <w:tblBorders>
          <w:top w:val="single" w:sz="6" w:color="CBD5D9"/>
          <w:left w:val="single" w:sz="6" w:color="CBD5D9"/>
          <w:bottom w:val="single" w:sz="6" w:color="CBD5D9"/>
          <w:right w:val="single" w:sz="6" w:color="CBD5D9"/>
          <w:insideH w:val="single" w:sz="6" w:color="CBD5D9"/>
          <w:insideV w:val="single" w:sz="6" w:color="CBD5D9"/>
        </w:tblBorders>
      </w:tblPr>
      <w:tblGrid>
        <w:gridCol w:w="1656"/>
        <w:gridCol w:w="7704"/>
      </w:tblGrid>
      <w:tr>
        <w:trPr>
          <w:tblHeader w:val="true"/>
        </w:trPr>
        <w:tc>
          <w:tcPr>
            <w:tcW w:type="dxa" w:w="1656"/>
            <w:tcMar>
              <w:top w:w="100" w:type="dxa"/>
              <w:start w:w="120" w:type="dxa"/>
              <w:bottom w:w="100" w:type="dxa"/>
              <w:end w:w="120" w:type="dxa"/>
            </w:tcMar>
            <w:vAlign w:val="center"/>
            <w:shd w:fill="17324D"/>
          </w:tcPr>
          <w:p>
            <w:pPr>
              <w:jc w:val="center"/>
            </w:pPr>
            <w:r>
              <w:rPr>
                <w:b/>
                <w:color w:val="FFFFFF"/>
                <w:sz w:val="18"/>
              </w:rPr>
              <w:t>Minutes</w:t>
            </w:r>
          </w:p>
        </w:tc>
        <w:tc>
          <w:tcPr>
            <w:tcW w:type="dxa" w:w="7704"/>
            <w:tcMar>
              <w:top w:w="100" w:type="dxa"/>
              <w:start w:w="120" w:type="dxa"/>
              <w:bottom w:w="100" w:type="dxa"/>
              <w:end w:w="120" w:type="dxa"/>
            </w:tcMar>
            <w:vAlign w:val="center"/>
            <w:shd w:fill="17324D"/>
          </w:tcPr>
          <w:p>
            <w:pPr>
              <w:jc w:val="center"/>
            </w:pPr>
            <w:r>
              <w:rPr>
                <w:b/>
                <w:color w:val="FFFFFF"/>
                <w:sz w:val="18"/>
              </w:rPr>
              <w:t>Learning experience</w:t>
            </w:r>
          </w:p>
        </w:tc>
      </w:tr>
      <w:tr>
        <w:tc>
          <w:tcPr>
            <w:tcW w:type="dxa" w:w="1656"/>
          </w:tcPr>
          <w:p>
            <w:pPr>
              <w:jc w:val="center"/>
            </w:pPr>
            <w:r>
              <w:rPr>
                <w:sz w:val="18"/>
              </w:rPr>
              <w:t>0-8</w:t>
            </w:r>
          </w:p>
        </w:tc>
        <w:tc>
          <w:tcPr>
            <w:tcW w:type="dxa" w:w="7704"/>
          </w:tcPr>
          <w:p>
            <w:pPr>
              <w:jc w:val="left"/>
            </w:pPr>
            <w:r>
              <w:rPr>
                <w:sz w:val="18"/>
              </w:rPr>
              <w:t>Retrieve Day 1 concepts</w:t>
            </w:r>
          </w:p>
        </w:tc>
      </w:tr>
      <w:tr>
        <w:tc>
          <w:tcPr>
            <w:tcW w:type="dxa" w:w="1656"/>
            <w:shd w:fill="F8FAFA"/>
          </w:tcPr>
          <w:p>
            <w:pPr>
              <w:jc w:val="center"/>
            </w:pPr>
            <w:r>
              <w:rPr>
                <w:sz w:val="18"/>
              </w:rPr>
              <w:t>8-22</w:t>
            </w:r>
          </w:p>
        </w:tc>
        <w:tc>
          <w:tcPr>
            <w:tcW w:type="dxa" w:w="7704"/>
            <w:shd w:fill="F8FAFA"/>
          </w:tcPr>
          <w:p>
            <w:pPr>
              <w:jc w:val="left"/>
            </w:pPr>
            <w:r>
              <w:rPr>
                <w:sz w:val="18"/>
              </w:rPr>
              <w:t>System anatomy and data chain</w:t>
            </w:r>
          </w:p>
        </w:tc>
      </w:tr>
      <w:tr>
        <w:tc>
          <w:tcPr>
            <w:tcW w:type="dxa" w:w="1656"/>
          </w:tcPr>
          <w:p>
            <w:pPr>
              <w:jc w:val="center"/>
            </w:pPr>
            <w:r>
              <w:rPr>
                <w:sz w:val="18"/>
              </w:rPr>
              <w:t>22-45</w:t>
            </w:r>
          </w:p>
        </w:tc>
        <w:tc>
          <w:tcPr>
            <w:tcW w:type="dxa" w:w="7704"/>
          </w:tcPr>
          <w:p>
            <w:pPr>
              <w:jc w:val="left"/>
            </w:pPr>
            <w:r>
              <w:rPr>
                <w:sz w:val="18"/>
              </w:rPr>
              <w:t>Wetland invasive-plant mission planning</w:t>
            </w:r>
          </w:p>
        </w:tc>
      </w:tr>
      <w:tr>
        <w:tc>
          <w:tcPr>
            <w:tcW w:type="dxa" w:w="1656"/>
            <w:shd w:fill="F8FAFA"/>
          </w:tcPr>
          <w:p>
            <w:pPr>
              <w:jc w:val="center"/>
            </w:pPr>
            <w:r>
              <w:rPr>
                <w:sz w:val="18"/>
              </w:rPr>
              <w:t>45-54</w:t>
            </w:r>
          </w:p>
        </w:tc>
        <w:tc>
          <w:tcPr>
            <w:tcW w:type="dxa" w:w="7704"/>
            <w:shd w:fill="F8FAFA"/>
          </w:tcPr>
          <w:p>
            <w:pPr>
              <w:jc w:val="left"/>
            </w:pPr>
            <w:r>
              <w:rPr>
                <w:sz w:val="18"/>
              </w:rPr>
              <w:t>Gallery walk and feedback</w:t>
            </w:r>
          </w:p>
        </w:tc>
      </w:tr>
      <w:tr>
        <w:tc>
          <w:tcPr>
            <w:tcW w:type="dxa" w:w="1656"/>
          </w:tcPr>
          <w:p>
            <w:pPr>
              <w:jc w:val="center"/>
            </w:pPr>
            <w:r>
              <w:rPr>
                <w:sz w:val="18"/>
              </w:rPr>
              <w:t>54-60</w:t>
            </w:r>
          </w:p>
        </w:tc>
        <w:tc>
          <w:tcPr>
            <w:tcW w:type="dxa" w:w="7704"/>
          </w:tcPr>
          <w:p>
            <w:pPr>
              <w:jc w:val="left"/>
            </w:pPr>
            <w:r>
              <w:rPr>
                <w:sz w:val="18"/>
              </w:rPr>
              <w:t>Workflow check</w:t>
            </w:r>
          </w:p>
        </w:tc>
      </w:tr>
    </w:tbl>
    <w:p>
      <w:pPr>
        <w:spacing w:after="0"/>
      </w:pPr>
    </w:p>
    <w:p>
      <w:pPr>
        <w:pStyle w:val="Heading2"/>
      </w:pPr>
      <w:r>
        <w:t>Instructor moves</w:t>
      </w:r>
    </w:p>
    <w:p>
      <w:r>
        <w:t>Treat GNSS accuracy, sensor calibration, overlap, and ground observations as parts of one measurement system. Ask where error may enter at each step.</w:t>
      </w:r>
    </w:p>
    <w:p>
      <w:pPr>
        <w:pStyle w:val="Heading2"/>
      </w:pPr>
      <w:r>
        <w:t>Formative evidence</w:t>
      </w:r>
    </w:p>
    <w:p>
      <w:r>
        <w:t>Put eight workflow cards in order and identify one quality-control check before, during, and after collection.</w:t>
      </w:r>
    </w:p>
    <w:p>
      <w:pPr>
        <w:pStyle w:val="Heading2"/>
      </w:pPr>
      <w:r>
        <w:t>Misconception to surface</w:t>
      </w:r>
    </w:p>
    <w:p>
      <w:r>
        <w:t>Buying a precise sensor does not guarantee accurate environmental conclusions.</w:t>
      </w:r>
    </w:p>
    <w:p>
      <w:pPr>
        <w:pStyle w:val="Heading2"/>
      </w:pPr>
      <w:r>
        <w:t>Access and extension</w:t>
      </w:r>
    </w:p>
    <w:p>
      <w:r>
        <w:t>Provide a partially completed flowchart. Extension: distinguish standard GNSS from RTK/PPK at a conceptual level.</w:t>
      </w:r>
    </w:p>
    <w:p>
      <w:r>
        <w:br w:type="page"/>
      </w:r>
    </w:p>
    <w:p>
      <w:pPr>
        <w:pStyle w:val="Heading1"/>
      </w:pPr>
      <w:r>
        <w:t>Day 3: Sensors and the Electromagnetic Spectrum</w:t>
      </w:r>
    </w:p>
    <w:tbl>
      <w:tblPr>
        <w:tblW w:type="dxa" w:w="9360"/>
        <w:tblLook w:firstColumn="1" w:firstRow="1" w:lastColumn="0" w:lastRow="0" w:noHBand="0" w:noVBand="1" w:val="04A0"/>
        <w:tblLayout w:type="fixed"/>
        <w:tblInd w:w="120" w:type="dxa"/>
        <w:tblBorders>
          <w:top w:val="single" w:sz="6" w:color="BFD7D2"/>
          <w:left w:val="single" w:sz="6" w:color="BFD7D2"/>
          <w:bottom w:val="single" w:sz="6" w:color="BFD7D2"/>
          <w:right w:val="single" w:sz="6" w:color="BFD7D2"/>
          <w:insideH w:val="single" w:sz="6" w:color="BFD7D2"/>
          <w:insideV w:val="single" w:sz="6" w:color="BFD7D2"/>
        </w:tblBorders>
      </w:tblPr>
      <w:tblGrid>
        <w:gridCol w:w="9360"/>
      </w:tblGrid>
      <w:tr>
        <w:tc>
          <w:tcPr>
            <w:tcW w:type="dxa" w:w="9360"/>
            <w:tcMar>
              <w:top w:w="100" w:type="dxa"/>
              <w:start w:w="120" w:type="dxa"/>
              <w:bottom w:w="100" w:type="dxa"/>
              <w:end w:w="120" w:type="dxa"/>
            </w:tcMar>
            <w:vAlign w:val="center"/>
            <w:shd w:fill="EAF3F1"/>
          </w:tcPr>
          <w:p>
            <w:r>
              <w:rPr>
                <w:b/>
                <w:color w:val="247B78"/>
              </w:rPr>
              <w:t xml:space="preserve">Essential question  </w:t>
            </w:r>
            <w:r>
              <w:t>Which sensor can answer which environmental question?</w:t>
            </w:r>
          </w:p>
        </w:tc>
      </w:tr>
    </w:tbl>
    <w:p>
      <w:pPr>
        <w:spacing w:after="0"/>
      </w:pPr>
    </w:p>
    <w:p>
      <w:pPr>
        <w:pStyle w:val="Heading2"/>
      </w:pPr>
      <w:r>
        <w:t>Measurable objectives</w:t>
      </w:r>
    </w:p>
    <w:p>
      <w:pPr>
        <w:pStyle w:val="ListBullet"/>
      </w:pPr>
      <w:r>
        <w:t>Differentiate RGB, multispectral, thermal, and lidar measurements.</w:t>
      </w:r>
    </w:p>
    <w:p>
      <w:pPr>
        <w:pStyle w:val="ListBullet"/>
      </w:pPr>
      <w:r>
        <w:t>Connect visible, near-infrared, thermal emission, and laser ranging to environmental variables.</w:t>
      </w:r>
    </w:p>
    <w:p>
      <w:pPr>
        <w:pStyle w:val="ListBullet"/>
      </w:pPr>
      <w:r>
        <w:t>Justify a sensor choice for a stated investigation.</w:t>
      </w:r>
    </w:p>
    <w:p>
      <w:pPr>
        <w:pStyle w:val="Heading2"/>
      </w:pPr>
      <w:r>
        <w:t>Preparation and materials</w:t>
      </w:r>
    </w:p>
    <w:p>
      <w:r>
        <w:t>Sensor reference sheet; mission cards; spectrum diagram; colored pencils.</w:t>
      </w:r>
    </w:p>
    <w:p>
      <w:pPr>
        <w:pStyle w:val="Heading2"/>
      </w:pPr>
      <w:r>
        <w:t>Suggested 60-minute sequence</w:t>
      </w:r>
    </w:p>
    <w:tbl>
      <w:tblPr>
        <w:tblW w:type="dxa" w:w="9360"/>
        <w:jc w:val="center"/>
        <w:tblLayout w:type="fixed"/>
        <w:tblLook w:firstColumn="1" w:firstRow="1" w:lastColumn="0" w:lastRow="0" w:noHBand="0" w:noVBand="1" w:val="04A0"/>
        <w:tblInd w:w="120" w:type="dxa"/>
        <w:tblBorders>
          <w:top w:val="single" w:sz="6" w:color="CBD5D9"/>
          <w:left w:val="single" w:sz="6" w:color="CBD5D9"/>
          <w:bottom w:val="single" w:sz="6" w:color="CBD5D9"/>
          <w:right w:val="single" w:sz="6" w:color="CBD5D9"/>
          <w:insideH w:val="single" w:sz="6" w:color="CBD5D9"/>
          <w:insideV w:val="single" w:sz="6" w:color="CBD5D9"/>
        </w:tblBorders>
      </w:tblPr>
      <w:tblGrid>
        <w:gridCol w:w="1656"/>
        <w:gridCol w:w="7704"/>
      </w:tblGrid>
      <w:tr>
        <w:trPr>
          <w:tblHeader w:val="true"/>
        </w:trPr>
        <w:tc>
          <w:tcPr>
            <w:tcW w:type="dxa" w:w="1656"/>
            <w:tcMar>
              <w:top w:w="100" w:type="dxa"/>
              <w:start w:w="120" w:type="dxa"/>
              <w:bottom w:w="100" w:type="dxa"/>
              <w:end w:w="120" w:type="dxa"/>
            </w:tcMar>
            <w:vAlign w:val="center"/>
            <w:shd w:fill="17324D"/>
          </w:tcPr>
          <w:p>
            <w:pPr>
              <w:jc w:val="center"/>
            </w:pPr>
            <w:r>
              <w:rPr>
                <w:b/>
                <w:color w:val="FFFFFF"/>
                <w:sz w:val="18"/>
              </w:rPr>
              <w:t>Minutes</w:t>
            </w:r>
          </w:p>
        </w:tc>
        <w:tc>
          <w:tcPr>
            <w:tcW w:type="dxa" w:w="7704"/>
            <w:tcMar>
              <w:top w:w="100" w:type="dxa"/>
              <w:start w:w="120" w:type="dxa"/>
              <w:bottom w:w="100" w:type="dxa"/>
              <w:end w:w="120" w:type="dxa"/>
            </w:tcMar>
            <w:vAlign w:val="center"/>
            <w:shd w:fill="17324D"/>
          </w:tcPr>
          <w:p>
            <w:pPr>
              <w:jc w:val="center"/>
            </w:pPr>
            <w:r>
              <w:rPr>
                <w:b/>
                <w:color w:val="FFFFFF"/>
                <w:sz w:val="18"/>
              </w:rPr>
              <w:t>Learning experience</w:t>
            </w:r>
          </w:p>
        </w:tc>
      </w:tr>
      <w:tr>
        <w:tc>
          <w:tcPr>
            <w:tcW w:type="dxa" w:w="1656"/>
          </w:tcPr>
          <w:p>
            <w:pPr>
              <w:jc w:val="center"/>
            </w:pPr>
            <w:r>
              <w:rPr>
                <w:sz w:val="18"/>
              </w:rPr>
              <w:t>0-8</w:t>
            </w:r>
          </w:p>
        </w:tc>
        <w:tc>
          <w:tcPr>
            <w:tcW w:type="dxa" w:w="7704"/>
          </w:tcPr>
          <w:p>
            <w:pPr>
              <w:jc w:val="left"/>
            </w:pPr>
            <w:r>
              <w:rPr>
                <w:sz w:val="18"/>
              </w:rPr>
              <w:t>What can human eyes not measure?</w:t>
            </w:r>
          </w:p>
        </w:tc>
      </w:tr>
      <w:tr>
        <w:tc>
          <w:tcPr>
            <w:tcW w:type="dxa" w:w="1656"/>
            <w:shd w:fill="F8FAFA"/>
          </w:tcPr>
          <w:p>
            <w:pPr>
              <w:jc w:val="center"/>
            </w:pPr>
            <w:r>
              <w:rPr>
                <w:sz w:val="18"/>
              </w:rPr>
              <w:t>8-25</w:t>
            </w:r>
          </w:p>
        </w:tc>
        <w:tc>
          <w:tcPr>
            <w:tcW w:type="dxa" w:w="7704"/>
            <w:shd w:fill="F8FAFA"/>
          </w:tcPr>
          <w:p>
            <w:pPr>
              <w:jc w:val="left"/>
            </w:pPr>
            <w:r>
              <w:rPr>
                <w:sz w:val="18"/>
              </w:rPr>
              <w:t>Spectrum and sensor mini-lesson</w:t>
            </w:r>
          </w:p>
        </w:tc>
      </w:tr>
      <w:tr>
        <w:tc>
          <w:tcPr>
            <w:tcW w:type="dxa" w:w="1656"/>
          </w:tcPr>
          <w:p>
            <w:pPr>
              <w:jc w:val="center"/>
            </w:pPr>
            <w:r>
              <w:rPr>
                <w:sz w:val="18"/>
              </w:rPr>
              <w:t>25-47</w:t>
            </w:r>
          </w:p>
        </w:tc>
        <w:tc>
          <w:tcPr>
            <w:tcW w:type="dxa" w:w="7704"/>
          </w:tcPr>
          <w:p>
            <w:pPr>
              <w:jc w:val="left"/>
            </w:pPr>
            <w:r>
              <w:rPr>
                <w:sz w:val="18"/>
              </w:rPr>
              <w:t>Choose-the-sensor mission cards</w:t>
            </w:r>
          </w:p>
        </w:tc>
      </w:tr>
      <w:tr>
        <w:tc>
          <w:tcPr>
            <w:tcW w:type="dxa" w:w="1656"/>
            <w:shd w:fill="F8FAFA"/>
          </w:tcPr>
          <w:p>
            <w:pPr>
              <w:jc w:val="center"/>
            </w:pPr>
            <w:r>
              <w:rPr>
                <w:sz w:val="18"/>
              </w:rPr>
              <w:t>47-55</w:t>
            </w:r>
          </w:p>
        </w:tc>
        <w:tc>
          <w:tcPr>
            <w:tcW w:type="dxa" w:w="7704"/>
            <w:shd w:fill="F8FAFA"/>
          </w:tcPr>
          <w:p>
            <w:pPr>
              <w:jc w:val="left"/>
            </w:pPr>
            <w:r>
              <w:rPr>
                <w:sz w:val="18"/>
              </w:rPr>
              <w:t>Defend and revise</w:t>
            </w:r>
          </w:p>
        </w:tc>
      </w:tr>
      <w:tr>
        <w:tc>
          <w:tcPr>
            <w:tcW w:type="dxa" w:w="1656"/>
          </w:tcPr>
          <w:p>
            <w:pPr>
              <w:jc w:val="center"/>
            </w:pPr>
            <w:r>
              <w:rPr>
                <w:sz w:val="18"/>
              </w:rPr>
              <w:t>55-60</w:t>
            </w:r>
          </w:p>
        </w:tc>
        <w:tc>
          <w:tcPr>
            <w:tcW w:type="dxa" w:w="7704"/>
          </w:tcPr>
          <w:p>
            <w:pPr>
              <w:jc w:val="left"/>
            </w:pPr>
            <w:r>
              <w:rPr>
                <w:sz w:val="18"/>
              </w:rPr>
              <w:t>One-sentence justification</w:t>
            </w:r>
          </w:p>
        </w:tc>
      </w:tr>
    </w:tbl>
    <w:p>
      <w:pPr>
        <w:spacing w:after="0"/>
      </w:pPr>
    </w:p>
    <w:p>
      <w:pPr>
        <w:pStyle w:val="Heading2"/>
      </w:pPr>
      <w:r>
        <w:t>Instructor moves</w:t>
      </w:r>
    </w:p>
    <w:p>
      <w:r>
        <w:t>Require the pattern: sensor -&gt; physical measurement -&gt; environmental inference -&gt; limitation. Clarify that lidar is active ranging, while standard RGB and multispectral cameras record reflected light.</w:t>
      </w:r>
    </w:p>
    <w:p>
      <w:pPr>
        <w:pStyle w:val="Heading2"/>
      </w:pPr>
      <w:r>
        <w:t>Formative evidence</w:t>
      </w:r>
    </w:p>
    <w:p>
      <w:r>
        <w:t>For thermal discharge, choose a sensor and explain what it measures directly versus what scientists infer.</w:t>
      </w:r>
    </w:p>
    <w:p>
      <w:pPr>
        <w:pStyle w:val="Heading2"/>
      </w:pPr>
      <w:r>
        <w:t>Misconception to surface</w:t>
      </w:r>
    </w:p>
    <w:p>
      <w:r>
        <w:t>Sensors do not directly measure 'plant health'; they measure reflected or emitted energy or distance.</w:t>
      </w:r>
    </w:p>
    <w:p>
      <w:pPr>
        <w:pStyle w:val="Heading2"/>
      </w:pPr>
      <w:r>
        <w:t>Access and extension</w:t>
      </w:r>
    </w:p>
    <w:p>
      <w:r>
        <w:t>Use color and pattern coding together. Give sentence frames. Extension: compare red-edge and near-infrared bands.</w:t>
      </w:r>
    </w:p>
    <w:p>
      <w:r>
        <w:br w:type="page"/>
      </w:r>
    </w:p>
    <w:p>
      <w:pPr>
        <w:pStyle w:val="Heading1"/>
      </w:pPr>
      <w:r>
        <w:t>Day 4: Resolution and Scale</w:t>
      </w:r>
    </w:p>
    <w:tbl>
      <w:tblPr>
        <w:tblW w:type="dxa" w:w="9360"/>
        <w:tblLook w:firstColumn="1" w:firstRow="1" w:lastColumn="0" w:lastRow="0" w:noHBand="0" w:noVBand="1" w:val="04A0"/>
        <w:tblLayout w:type="fixed"/>
        <w:tblInd w:w="120" w:type="dxa"/>
        <w:tblBorders>
          <w:top w:val="single" w:sz="6" w:color="BFD7D2"/>
          <w:left w:val="single" w:sz="6" w:color="BFD7D2"/>
          <w:bottom w:val="single" w:sz="6" w:color="BFD7D2"/>
          <w:right w:val="single" w:sz="6" w:color="BFD7D2"/>
          <w:insideH w:val="single" w:sz="6" w:color="BFD7D2"/>
          <w:insideV w:val="single" w:sz="6" w:color="BFD7D2"/>
        </w:tblBorders>
      </w:tblPr>
      <w:tblGrid>
        <w:gridCol w:w="9360"/>
      </w:tblGrid>
      <w:tr>
        <w:tc>
          <w:tcPr>
            <w:tcW w:type="dxa" w:w="9360"/>
            <w:tcMar>
              <w:top w:w="100" w:type="dxa"/>
              <w:start w:w="120" w:type="dxa"/>
              <w:bottom w:w="100" w:type="dxa"/>
              <w:end w:w="120" w:type="dxa"/>
            </w:tcMar>
            <w:vAlign w:val="center"/>
            <w:shd w:fill="EAF3F1"/>
          </w:tcPr>
          <w:p>
            <w:r>
              <w:rPr>
                <w:b/>
                <w:color w:val="247B78"/>
              </w:rPr>
              <w:t xml:space="preserve">Essential question  </w:t>
            </w:r>
            <w:r>
              <w:t>How much detail is enough to answer the question?</w:t>
            </w:r>
          </w:p>
        </w:tc>
      </w:tr>
    </w:tbl>
    <w:p>
      <w:pPr>
        <w:spacing w:after="0"/>
      </w:pPr>
    </w:p>
    <w:p>
      <w:pPr>
        <w:pStyle w:val="Heading2"/>
      </w:pPr>
      <w:r>
        <w:t>Measurable objectives</w:t>
      </w:r>
    </w:p>
    <w:p>
      <w:pPr>
        <w:pStyle w:val="ListBullet"/>
      </w:pPr>
      <w:r>
        <w:t>Explain spatial, spectral, temporal, and radiometric resolution.</w:t>
      </w:r>
    </w:p>
    <w:p>
      <w:pPr>
        <w:pStyle w:val="ListBullet"/>
      </w:pPr>
      <w:r>
        <w:t>Predict how pixel size affects feature detection.</w:t>
      </w:r>
    </w:p>
    <w:p>
      <w:pPr>
        <w:pStyle w:val="ListBullet"/>
      </w:pPr>
      <w:r>
        <w:t>Defend a fit-for-purpose resolution rather than simply choosing the finest available.</w:t>
      </w:r>
    </w:p>
    <w:p>
      <w:pPr>
        <w:pStyle w:val="Heading2"/>
      </w:pPr>
      <w:r>
        <w:t>Preparation and materials</w:t>
      </w:r>
    </w:p>
    <w:p>
      <w:r>
        <w:t>Resolution grids; feature-size cards; ruler; calculator; optional GIS image pyramid.</w:t>
      </w:r>
    </w:p>
    <w:p>
      <w:pPr>
        <w:pStyle w:val="Heading2"/>
      </w:pPr>
      <w:r>
        <w:t>Suggested 60-minute sequence</w:t>
      </w:r>
    </w:p>
    <w:tbl>
      <w:tblPr>
        <w:tblW w:type="dxa" w:w="9360"/>
        <w:jc w:val="center"/>
        <w:tblLayout w:type="fixed"/>
        <w:tblLook w:firstColumn="1" w:firstRow="1" w:lastColumn="0" w:lastRow="0" w:noHBand="0" w:noVBand="1" w:val="04A0"/>
        <w:tblInd w:w="120" w:type="dxa"/>
        <w:tblBorders>
          <w:top w:val="single" w:sz="6" w:color="CBD5D9"/>
          <w:left w:val="single" w:sz="6" w:color="CBD5D9"/>
          <w:bottom w:val="single" w:sz="6" w:color="CBD5D9"/>
          <w:right w:val="single" w:sz="6" w:color="CBD5D9"/>
          <w:insideH w:val="single" w:sz="6" w:color="CBD5D9"/>
          <w:insideV w:val="single" w:sz="6" w:color="CBD5D9"/>
        </w:tblBorders>
      </w:tblPr>
      <w:tblGrid>
        <w:gridCol w:w="1656"/>
        <w:gridCol w:w="7704"/>
      </w:tblGrid>
      <w:tr>
        <w:trPr>
          <w:tblHeader w:val="true"/>
        </w:trPr>
        <w:tc>
          <w:tcPr>
            <w:tcW w:type="dxa" w:w="1656"/>
            <w:tcMar>
              <w:top w:w="100" w:type="dxa"/>
              <w:start w:w="120" w:type="dxa"/>
              <w:bottom w:w="100" w:type="dxa"/>
              <w:end w:w="120" w:type="dxa"/>
            </w:tcMar>
            <w:vAlign w:val="center"/>
            <w:shd w:fill="17324D"/>
          </w:tcPr>
          <w:p>
            <w:pPr>
              <w:jc w:val="center"/>
            </w:pPr>
            <w:r>
              <w:rPr>
                <w:b/>
                <w:color w:val="FFFFFF"/>
                <w:sz w:val="18"/>
              </w:rPr>
              <w:t>Minutes</w:t>
            </w:r>
          </w:p>
        </w:tc>
        <w:tc>
          <w:tcPr>
            <w:tcW w:type="dxa" w:w="7704"/>
            <w:tcMar>
              <w:top w:w="100" w:type="dxa"/>
              <w:start w:w="120" w:type="dxa"/>
              <w:bottom w:w="100" w:type="dxa"/>
              <w:end w:w="120" w:type="dxa"/>
            </w:tcMar>
            <w:vAlign w:val="center"/>
            <w:shd w:fill="17324D"/>
          </w:tcPr>
          <w:p>
            <w:pPr>
              <w:jc w:val="center"/>
            </w:pPr>
            <w:r>
              <w:rPr>
                <w:b/>
                <w:color w:val="FFFFFF"/>
                <w:sz w:val="18"/>
              </w:rPr>
              <w:t>Learning experience</w:t>
            </w:r>
          </w:p>
        </w:tc>
      </w:tr>
      <w:tr>
        <w:tc>
          <w:tcPr>
            <w:tcW w:type="dxa" w:w="1656"/>
          </w:tcPr>
          <w:p>
            <w:pPr>
              <w:jc w:val="center"/>
            </w:pPr>
            <w:r>
              <w:rPr>
                <w:sz w:val="18"/>
              </w:rPr>
              <w:t>0-10</w:t>
            </w:r>
          </w:p>
        </w:tc>
        <w:tc>
          <w:tcPr>
            <w:tcW w:type="dxa" w:w="7704"/>
          </w:tcPr>
          <w:p>
            <w:pPr>
              <w:jc w:val="left"/>
            </w:pPr>
            <w:r>
              <w:rPr>
                <w:sz w:val="18"/>
              </w:rPr>
              <w:t>Pixel mystery</w:t>
            </w:r>
          </w:p>
        </w:tc>
      </w:tr>
      <w:tr>
        <w:tc>
          <w:tcPr>
            <w:tcW w:type="dxa" w:w="1656"/>
            <w:shd w:fill="F8FAFA"/>
          </w:tcPr>
          <w:p>
            <w:pPr>
              <w:jc w:val="center"/>
            </w:pPr>
            <w:r>
              <w:rPr>
                <w:sz w:val="18"/>
              </w:rPr>
              <w:t>10-24</w:t>
            </w:r>
          </w:p>
        </w:tc>
        <w:tc>
          <w:tcPr>
            <w:tcW w:type="dxa" w:w="7704"/>
            <w:shd w:fill="F8FAFA"/>
          </w:tcPr>
          <w:p>
            <w:pPr>
              <w:jc w:val="left"/>
            </w:pPr>
            <w:r>
              <w:rPr>
                <w:sz w:val="18"/>
              </w:rPr>
              <w:t>Four resolutions mini-lesson</w:t>
            </w:r>
          </w:p>
        </w:tc>
      </w:tr>
      <w:tr>
        <w:tc>
          <w:tcPr>
            <w:tcW w:type="dxa" w:w="1656"/>
          </w:tcPr>
          <w:p>
            <w:pPr>
              <w:jc w:val="center"/>
            </w:pPr>
            <w:r>
              <w:rPr>
                <w:sz w:val="18"/>
              </w:rPr>
              <w:t>24-45</w:t>
            </w:r>
          </w:p>
        </w:tc>
        <w:tc>
          <w:tcPr>
            <w:tcW w:type="dxa" w:w="7704"/>
          </w:tcPr>
          <w:p>
            <w:pPr>
              <w:jc w:val="left"/>
            </w:pPr>
            <w:r>
              <w:rPr>
                <w:sz w:val="18"/>
              </w:rPr>
              <w:t>Feature detection lab</w:t>
            </w:r>
          </w:p>
        </w:tc>
      </w:tr>
      <w:tr>
        <w:tc>
          <w:tcPr>
            <w:tcW w:type="dxa" w:w="1656"/>
            <w:shd w:fill="F8FAFA"/>
          </w:tcPr>
          <w:p>
            <w:pPr>
              <w:jc w:val="center"/>
            </w:pPr>
            <w:r>
              <w:rPr>
                <w:sz w:val="18"/>
              </w:rPr>
              <w:t>45-54</w:t>
            </w:r>
          </w:p>
        </w:tc>
        <w:tc>
          <w:tcPr>
            <w:tcW w:type="dxa" w:w="7704"/>
            <w:shd w:fill="F8FAFA"/>
          </w:tcPr>
          <w:p>
            <w:pPr>
              <w:jc w:val="left"/>
            </w:pPr>
            <w:r>
              <w:rPr>
                <w:sz w:val="18"/>
              </w:rPr>
              <w:t>Cost/coverage trade-off</w:t>
            </w:r>
          </w:p>
        </w:tc>
      </w:tr>
      <w:tr>
        <w:tc>
          <w:tcPr>
            <w:tcW w:type="dxa" w:w="1656"/>
          </w:tcPr>
          <w:p>
            <w:pPr>
              <w:jc w:val="center"/>
            </w:pPr>
            <w:r>
              <w:rPr>
                <w:sz w:val="18"/>
              </w:rPr>
              <w:t>54-60</w:t>
            </w:r>
          </w:p>
        </w:tc>
        <w:tc>
          <w:tcPr>
            <w:tcW w:type="dxa" w:w="7704"/>
          </w:tcPr>
          <w:p>
            <w:pPr>
              <w:jc w:val="left"/>
            </w:pPr>
            <w:r>
              <w:rPr>
                <w:sz w:val="18"/>
              </w:rPr>
              <w:t>Resolution claim</w:t>
            </w:r>
          </w:p>
        </w:tc>
      </w:tr>
    </w:tbl>
    <w:p>
      <w:pPr>
        <w:spacing w:after="0"/>
      </w:pPr>
    </w:p>
    <w:p>
      <w:pPr>
        <w:pStyle w:val="Heading2"/>
      </w:pPr>
      <w:r>
        <w:t>Instructor moves</w:t>
      </w:r>
    </w:p>
    <w:p>
      <w:r>
        <w:t>Use the rule of multiple pixels across a feature for reliable recognition, but emphasize that detection thresholds depend on contrast, shape, and purpose.</w:t>
      </w:r>
    </w:p>
    <w:p>
      <w:pPr>
        <w:pStyle w:val="Heading2"/>
      </w:pPr>
      <w:r>
        <w:t>Formative evidence</w:t>
      </w:r>
    </w:p>
    <w:p>
      <w:r>
        <w:t>Explain why 30 m imagery can support regional forest analysis but not reliable diagnosis of an individual tree.</w:t>
      </w:r>
    </w:p>
    <w:p>
      <w:pPr>
        <w:pStyle w:val="Heading2"/>
      </w:pPr>
      <w:r>
        <w:t>Misconception to surface</w:t>
      </w:r>
    </w:p>
    <w:p>
      <w:r>
        <w:t>Higher spatial resolution is not always better; it may increase storage, processing, cost, and privacy risk.</w:t>
      </w:r>
    </w:p>
    <w:p>
      <w:pPr>
        <w:pStyle w:val="Heading2"/>
      </w:pPr>
      <w:r>
        <w:t>Access and extension</w:t>
      </w:r>
    </w:p>
    <w:p>
      <w:r>
        <w:t>Provide enlarged pixel grids. Extension: calculate approximate pixel counts across features and discuss mixed pixels.</w:t>
      </w:r>
    </w:p>
    <w:p>
      <w:r>
        <w:br w:type="page"/>
      </w:r>
    </w:p>
    <w:p>
      <w:pPr>
        <w:pStyle w:val="Heading1"/>
      </w:pPr>
      <w:r>
        <w:t>Day 5: Multispectral Data and NDVI</w:t>
      </w:r>
    </w:p>
    <w:tbl>
      <w:tblPr>
        <w:tblW w:type="dxa" w:w="9360"/>
        <w:tblLook w:firstColumn="1" w:firstRow="1" w:lastColumn="0" w:lastRow="0" w:noHBand="0" w:noVBand="1" w:val="04A0"/>
        <w:tblLayout w:type="fixed"/>
        <w:tblInd w:w="120" w:type="dxa"/>
        <w:tblBorders>
          <w:top w:val="single" w:sz="6" w:color="BFD7D2"/>
          <w:left w:val="single" w:sz="6" w:color="BFD7D2"/>
          <w:bottom w:val="single" w:sz="6" w:color="BFD7D2"/>
          <w:right w:val="single" w:sz="6" w:color="BFD7D2"/>
          <w:insideH w:val="single" w:sz="6" w:color="BFD7D2"/>
          <w:insideV w:val="single" w:sz="6" w:color="BFD7D2"/>
        </w:tblBorders>
      </w:tblPr>
      <w:tblGrid>
        <w:gridCol w:w="9360"/>
      </w:tblGrid>
      <w:tr>
        <w:tc>
          <w:tcPr>
            <w:tcW w:type="dxa" w:w="9360"/>
            <w:tcMar>
              <w:top w:w="100" w:type="dxa"/>
              <w:start w:w="120" w:type="dxa"/>
              <w:bottom w:w="100" w:type="dxa"/>
              <w:end w:w="120" w:type="dxa"/>
            </w:tcMar>
            <w:vAlign w:val="center"/>
            <w:shd w:fill="EAF3F1"/>
          </w:tcPr>
          <w:p>
            <w:r>
              <w:rPr>
                <w:b/>
                <w:color w:val="247B78"/>
              </w:rPr>
              <w:t xml:space="preserve">Essential question  </w:t>
            </w:r>
            <w:r>
              <w:t>How can red and near-infrared reflectance reveal vegetation patterns?</w:t>
            </w:r>
          </w:p>
        </w:tc>
      </w:tr>
    </w:tbl>
    <w:p>
      <w:pPr>
        <w:spacing w:after="0"/>
      </w:pPr>
    </w:p>
    <w:p>
      <w:pPr>
        <w:pStyle w:val="Heading2"/>
      </w:pPr>
      <w:r>
        <w:t>Measurable objectives</w:t>
      </w:r>
    </w:p>
    <w:p>
      <w:pPr>
        <w:pStyle w:val="ListBullet"/>
      </w:pPr>
      <w:r>
        <w:t>Describe why photosynthetically active vegetation commonly absorbs red light and reflects more near-infrared energy.</w:t>
      </w:r>
    </w:p>
    <w:p>
      <w:pPr>
        <w:pStyle w:val="ListBullet"/>
      </w:pPr>
      <w:r>
        <w:t>Calculate NDVI accurately.</w:t>
      </w:r>
    </w:p>
    <w:p>
      <w:pPr>
        <w:pStyle w:val="ListBullet"/>
      </w:pPr>
      <w:r>
        <w:t>Interpret an NDVI pattern without treating the index as a diagnosis.</w:t>
      </w:r>
    </w:p>
    <w:p>
      <w:pPr>
        <w:pStyle w:val="Heading2"/>
      </w:pPr>
      <w:r>
        <w:t>Preparation and materials</w:t>
      </w:r>
    </w:p>
    <w:p>
      <w:r>
        <w:t>NDVI practice table; calculator; simulated NDVI map; formula/reference sheet.</w:t>
      </w:r>
    </w:p>
    <w:p>
      <w:pPr>
        <w:pStyle w:val="Heading2"/>
      </w:pPr>
      <w:r>
        <w:t>Suggested 60-minute sequence</w:t>
      </w:r>
    </w:p>
    <w:tbl>
      <w:tblPr>
        <w:tblW w:type="dxa" w:w="9360"/>
        <w:jc w:val="center"/>
        <w:tblLayout w:type="fixed"/>
        <w:tblLook w:firstColumn="1" w:firstRow="1" w:lastColumn="0" w:lastRow="0" w:noHBand="0" w:noVBand="1" w:val="04A0"/>
        <w:tblInd w:w="120" w:type="dxa"/>
        <w:tblBorders>
          <w:top w:val="single" w:sz="6" w:color="CBD5D9"/>
          <w:left w:val="single" w:sz="6" w:color="CBD5D9"/>
          <w:bottom w:val="single" w:sz="6" w:color="CBD5D9"/>
          <w:right w:val="single" w:sz="6" w:color="CBD5D9"/>
          <w:insideH w:val="single" w:sz="6" w:color="CBD5D9"/>
          <w:insideV w:val="single" w:sz="6" w:color="CBD5D9"/>
        </w:tblBorders>
      </w:tblPr>
      <w:tblGrid>
        <w:gridCol w:w="1656"/>
        <w:gridCol w:w="7704"/>
      </w:tblGrid>
      <w:tr>
        <w:trPr>
          <w:tblHeader w:val="true"/>
        </w:trPr>
        <w:tc>
          <w:tcPr>
            <w:tcW w:type="dxa" w:w="1656"/>
            <w:tcMar>
              <w:top w:w="100" w:type="dxa"/>
              <w:start w:w="120" w:type="dxa"/>
              <w:bottom w:w="100" w:type="dxa"/>
              <w:end w:w="120" w:type="dxa"/>
            </w:tcMar>
            <w:vAlign w:val="center"/>
            <w:shd w:fill="17324D"/>
          </w:tcPr>
          <w:p>
            <w:pPr>
              <w:jc w:val="center"/>
            </w:pPr>
            <w:r>
              <w:rPr>
                <w:b/>
                <w:color w:val="FFFFFF"/>
                <w:sz w:val="18"/>
              </w:rPr>
              <w:t>Minutes</w:t>
            </w:r>
          </w:p>
        </w:tc>
        <w:tc>
          <w:tcPr>
            <w:tcW w:type="dxa" w:w="7704"/>
            <w:tcMar>
              <w:top w:w="100" w:type="dxa"/>
              <w:start w:w="120" w:type="dxa"/>
              <w:bottom w:w="100" w:type="dxa"/>
              <w:end w:w="120" w:type="dxa"/>
            </w:tcMar>
            <w:vAlign w:val="center"/>
            <w:shd w:fill="17324D"/>
          </w:tcPr>
          <w:p>
            <w:pPr>
              <w:jc w:val="center"/>
            </w:pPr>
            <w:r>
              <w:rPr>
                <w:b/>
                <w:color w:val="FFFFFF"/>
                <w:sz w:val="18"/>
              </w:rPr>
              <w:t>Learning experience</w:t>
            </w:r>
          </w:p>
        </w:tc>
      </w:tr>
      <w:tr>
        <w:tc>
          <w:tcPr>
            <w:tcW w:type="dxa" w:w="1656"/>
          </w:tcPr>
          <w:p>
            <w:pPr>
              <w:jc w:val="center"/>
            </w:pPr>
            <w:r>
              <w:rPr>
                <w:sz w:val="18"/>
              </w:rPr>
              <w:t>0-8</w:t>
            </w:r>
          </w:p>
        </w:tc>
        <w:tc>
          <w:tcPr>
            <w:tcW w:type="dxa" w:w="7704"/>
          </w:tcPr>
          <w:p>
            <w:pPr>
              <w:jc w:val="left"/>
            </w:pPr>
            <w:r>
              <w:rPr>
                <w:sz w:val="18"/>
              </w:rPr>
              <w:t>Leaf reflectance prediction</w:t>
            </w:r>
          </w:p>
        </w:tc>
      </w:tr>
      <w:tr>
        <w:tc>
          <w:tcPr>
            <w:tcW w:type="dxa" w:w="1656"/>
            <w:shd w:fill="F8FAFA"/>
          </w:tcPr>
          <w:p>
            <w:pPr>
              <w:jc w:val="center"/>
            </w:pPr>
            <w:r>
              <w:rPr>
                <w:sz w:val="18"/>
              </w:rPr>
              <w:t>8-23</w:t>
            </w:r>
          </w:p>
        </w:tc>
        <w:tc>
          <w:tcPr>
            <w:tcW w:type="dxa" w:w="7704"/>
            <w:shd w:fill="F8FAFA"/>
          </w:tcPr>
          <w:p>
            <w:pPr>
              <w:jc w:val="left"/>
            </w:pPr>
            <w:r>
              <w:rPr>
                <w:sz w:val="18"/>
              </w:rPr>
              <w:t>NDVI model and worked example</w:t>
            </w:r>
          </w:p>
        </w:tc>
      </w:tr>
      <w:tr>
        <w:tc>
          <w:tcPr>
            <w:tcW w:type="dxa" w:w="1656"/>
          </w:tcPr>
          <w:p>
            <w:pPr>
              <w:jc w:val="center"/>
            </w:pPr>
            <w:r>
              <w:rPr>
                <w:sz w:val="18"/>
              </w:rPr>
              <w:t>23-42</w:t>
            </w:r>
          </w:p>
        </w:tc>
        <w:tc>
          <w:tcPr>
            <w:tcW w:type="dxa" w:w="7704"/>
          </w:tcPr>
          <w:p>
            <w:pPr>
              <w:jc w:val="left"/>
            </w:pPr>
            <w:r>
              <w:rPr>
                <w:sz w:val="18"/>
              </w:rPr>
              <w:t>Calculation practice</w:t>
            </w:r>
          </w:p>
        </w:tc>
      </w:tr>
      <w:tr>
        <w:tc>
          <w:tcPr>
            <w:tcW w:type="dxa" w:w="1656"/>
            <w:shd w:fill="F8FAFA"/>
          </w:tcPr>
          <w:p>
            <w:pPr>
              <w:jc w:val="center"/>
            </w:pPr>
            <w:r>
              <w:rPr>
                <w:sz w:val="18"/>
              </w:rPr>
              <w:t>42-53</w:t>
            </w:r>
          </w:p>
        </w:tc>
        <w:tc>
          <w:tcPr>
            <w:tcW w:type="dxa" w:w="7704"/>
            <w:shd w:fill="F8FAFA"/>
          </w:tcPr>
          <w:p>
            <w:pPr>
              <w:jc w:val="left"/>
            </w:pPr>
            <w:r>
              <w:rPr>
                <w:sz w:val="18"/>
              </w:rPr>
              <w:t>Map interpretation</w:t>
            </w:r>
          </w:p>
        </w:tc>
      </w:tr>
      <w:tr>
        <w:tc>
          <w:tcPr>
            <w:tcW w:type="dxa" w:w="1656"/>
          </w:tcPr>
          <w:p>
            <w:pPr>
              <w:jc w:val="center"/>
            </w:pPr>
            <w:r>
              <w:rPr>
                <w:sz w:val="18"/>
              </w:rPr>
              <w:t>53-60</w:t>
            </w:r>
          </w:p>
        </w:tc>
        <w:tc>
          <w:tcPr>
            <w:tcW w:type="dxa" w:w="7704"/>
          </w:tcPr>
          <w:p>
            <w:pPr>
              <w:jc w:val="center"/>
            </w:pPr>
            <w:r>
              <w:rPr>
                <w:sz w:val="18"/>
              </w:rPr>
              <w:t>Error check</w:t>
            </w:r>
          </w:p>
        </w:tc>
      </w:tr>
    </w:tbl>
    <w:p>
      <w:pPr>
        <w:spacing w:after="0"/>
      </w:pPr>
    </w:p>
    <w:p>
      <w:pPr>
        <w:pStyle w:val="Heading2"/>
      </w:pPr>
      <w:r>
        <w:t>Instructor moves</w:t>
      </w:r>
    </w:p>
    <w:p>
      <w:r>
        <w:t>Model order of operations and denominator checks. Ask how water, bare soil, shadows, phenology, species, and calibration can change values.</w:t>
      </w:r>
    </w:p>
    <w:p>
      <w:pPr>
        <w:pStyle w:val="Heading2"/>
      </w:pPr>
      <w:r>
        <w:t>Formative evidence</w:t>
      </w:r>
    </w:p>
    <w:p>
      <w:r>
        <w:t>Calculate NDVI for Red = 0.20 and NIR = 0.60, then state one defensible and one overreaching interpretation.</w:t>
      </w:r>
    </w:p>
    <w:p>
      <w:pPr>
        <w:pStyle w:val="Heading2"/>
      </w:pPr>
      <w:r>
        <w:t>Misconception to surface</w:t>
      </w:r>
    </w:p>
    <w:p>
      <w:r>
        <w:t>High NDVI means stronger green vegetation signal in context; it does not automatically mean ecosystem health, biodiversity, or absence of invasive species.</w:t>
      </w:r>
    </w:p>
    <w:p>
      <w:pPr>
        <w:pStyle w:val="Heading2"/>
      </w:pPr>
      <w:r>
        <w:t>Access and extension</w:t>
      </w:r>
    </w:p>
    <w:p>
      <w:r>
        <w:t>Provide color-coded numerator/denominator templates and a calculator. Extension: compare two dates and discuss normalization.</w:t>
      </w:r>
    </w:p>
    <w:p>
      <w:r>
        <w:br w:type="page"/>
      </w:r>
    </w:p>
    <w:p>
      <w:pPr>
        <w:pStyle w:val="Heading1"/>
      </w:pPr>
      <w:r>
        <w:t>Day 6: From Photographs to Maps</w:t>
      </w:r>
    </w:p>
    <w:tbl>
      <w:tblPr>
        <w:tblW w:type="dxa" w:w="9360"/>
        <w:tblLook w:firstColumn="1" w:firstRow="1" w:lastColumn="0" w:lastRow="0" w:noHBand="0" w:noVBand="1" w:val="04A0"/>
        <w:tblLayout w:type="fixed"/>
        <w:tblInd w:w="120" w:type="dxa"/>
        <w:tblBorders>
          <w:top w:val="single" w:sz="6" w:color="BFD7D2"/>
          <w:left w:val="single" w:sz="6" w:color="BFD7D2"/>
          <w:bottom w:val="single" w:sz="6" w:color="BFD7D2"/>
          <w:right w:val="single" w:sz="6" w:color="BFD7D2"/>
          <w:insideH w:val="single" w:sz="6" w:color="BFD7D2"/>
          <w:insideV w:val="single" w:sz="6" w:color="BFD7D2"/>
        </w:tblBorders>
      </w:tblPr>
      <w:tblGrid>
        <w:gridCol w:w="9360"/>
      </w:tblGrid>
      <w:tr>
        <w:tc>
          <w:tcPr>
            <w:tcW w:type="dxa" w:w="9360"/>
            <w:tcMar>
              <w:top w:w="100" w:type="dxa"/>
              <w:start w:w="120" w:type="dxa"/>
              <w:bottom w:w="100" w:type="dxa"/>
              <w:end w:w="120" w:type="dxa"/>
            </w:tcMar>
            <w:vAlign w:val="center"/>
            <w:shd w:fill="EAF3F1"/>
          </w:tcPr>
          <w:p>
            <w:r>
              <w:rPr>
                <w:b/>
                <w:color w:val="247B78"/>
              </w:rPr>
              <w:t xml:space="preserve">Essential question  </w:t>
            </w:r>
            <w:r>
              <w:t>Why are overlapping photographs not yet a reliable map?</w:t>
            </w:r>
          </w:p>
        </w:tc>
      </w:tr>
    </w:tbl>
    <w:p>
      <w:pPr>
        <w:spacing w:after="0"/>
      </w:pPr>
    </w:p>
    <w:p>
      <w:pPr>
        <w:pStyle w:val="Heading2"/>
      </w:pPr>
      <w:r>
        <w:t>Measurable objectives</w:t>
      </w:r>
    </w:p>
    <w:p>
      <w:pPr>
        <w:pStyle w:val="ListBullet"/>
      </w:pPr>
      <w:r>
        <w:t>Sequence the photogrammetry workflow.</w:t>
      </w:r>
    </w:p>
    <w:p>
      <w:pPr>
        <w:pStyle w:val="ListBullet"/>
      </w:pPr>
      <w:r>
        <w:t>Distinguish an individual photograph, orthomosaic, point cloud, and surface/elevation model.</w:t>
      </w:r>
    </w:p>
    <w:p>
      <w:pPr>
        <w:pStyle w:val="ListBullet"/>
      </w:pPr>
      <w:r>
        <w:t>Explain the roles of overlap, georeferencing, control, and error checking.</w:t>
      </w:r>
    </w:p>
    <w:p>
      <w:pPr>
        <w:pStyle w:val="Heading2"/>
      </w:pPr>
      <w:r>
        <w:t>Preparation and materials</w:t>
      </w:r>
    </w:p>
    <w:p>
      <w:r>
        <w:t>Workflow visual; image-overlap strips; product cards; optional orthomosaic and point-cloud screenshots.</w:t>
      </w:r>
    </w:p>
    <w:p>
      <w:pPr>
        <w:pStyle w:val="Heading2"/>
      </w:pPr>
      <w:r>
        <w:t>Suggested 60-minute sequence</w:t>
      </w:r>
    </w:p>
    <w:tbl>
      <w:tblPr>
        <w:tblW w:type="dxa" w:w="9360"/>
        <w:jc w:val="center"/>
        <w:tblLayout w:type="fixed"/>
        <w:tblLook w:firstColumn="1" w:firstRow="1" w:lastColumn="0" w:lastRow="0" w:noHBand="0" w:noVBand="1" w:val="04A0"/>
        <w:tblInd w:w="120" w:type="dxa"/>
        <w:tblBorders>
          <w:top w:val="single" w:sz="6" w:color="CBD5D9"/>
          <w:left w:val="single" w:sz="6" w:color="CBD5D9"/>
          <w:bottom w:val="single" w:sz="6" w:color="CBD5D9"/>
          <w:right w:val="single" w:sz="6" w:color="CBD5D9"/>
          <w:insideH w:val="single" w:sz="6" w:color="CBD5D9"/>
          <w:insideV w:val="single" w:sz="6" w:color="CBD5D9"/>
        </w:tblBorders>
      </w:tblPr>
      <w:tblGrid>
        <w:gridCol w:w="1656"/>
        <w:gridCol w:w="7704"/>
      </w:tblGrid>
      <w:tr>
        <w:trPr>
          <w:tblHeader w:val="true"/>
        </w:trPr>
        <w:tc>
          <w:tcPr>
            <w:tcW w:type="dxa" w:w="1656"/>
            <w:tcMar>
              <w:top w:w="100" w:type="dxa"/>
              <w:start w:w="120" w:type="dxa"/>
              <w:bottom w:w="100" w:type="dxa"/>
              <w:end w:w="120" w:type="dxa"/>
            </w:tcMar>
            <w:vAlign w:val="center"/>
            <w:shd w:fill="17324D"/>
          </w:tcPr>
          <w:p>
            <w:pPr>
              <w:jc w:val="center"/>
            </w:pPr>
            <w:r>
              <w:rPr>
                <w:b/>
                <w:color w:val="FFFFFF"/>
                <w:sz w:val="18"/>
              </w:rPr>
              <w:t>Minutes</w:t>
            </w:r>
          </w:p>
        </w:tc>
        <w:tc>
          <w:tcPr>
            <w:tcW w:type="dxa" w:w="7704"/>
            <w:tcMar>
              <w:top w:w="100" w:type="dxa"/>
              <w:start w:w="120" w:type="dxa"/>
              <w:bottom w:w="100" w:type="dxa"/>
              <w:end w:w="120" w:type="dxa"/>
            </w:tcMar>
            <w:vAlign w:val="center"/>
            <w:shd w:fill="17324D"/>
          </w:tcPr>
          <w:p>
            <w:pPr>
              <w:jc w:val="center"/>
            </w:pPr>
            <w:r>
              <w:rPr>
                <w:b/>
                <w:color w:val="FFFFFF"/>
                <w:sz w:val="18"/>
              </w:rPr>
              <w:t>Learning experience</w:t>
            </w:r>
          </w:p>
        </w:tc>
      </w:tr>
      <w:tr>
        <w:tc>
          <w:tcPr>
            <w:tcW w:type="dxa" w:w="1656"/>
          </w:tcPr>
          <w:p>
            <w:pPr>
              <w:jc w:val="center"/>
            </w:pPr>
            <w:r>
              <w:rPr>
                <w:sz w:val="18"/>
              </w:rPr>
              <w:t>0-8</w:t>
            </w:r>
          </w:p>
        </w:tc>
        <w:tc>
          <w:tcPr>
            <w:tcW w:type="dxa" w:w="7704"/>
          </w:tcPr>
          <w:p>
            <w:pPr>
              <w:jc w:val="left"/>
            </w:pPr>
            <w:r>
              <w:rPr>
                <w:sz w:val="18"/>
              </w:rPr>
              <w:t>Photo versus map comparison</w:t>
            </w:r>
          </w:p>
        </w:tc>
      </w:tr>
      <w:tr>
        <w:tc>
          <w:tcPr>
            <w:tcW w:type="dxa" w:w="1656"/>
            <w:shd w:fill="F8FAFA"/>
          </w:tcPr>
          <w:p>
            <w:pPr>
              <w:jc w:val="center"/>
            </w:pPr>
            <w:r>
              <w:rPr>
                <w:sz w:val="18"/>
              </w:rPr>
              <w:t>8-25</w:t>
            </w:r>
          </w:p>
        </w:tc>
        <w:tc>
          <w:tcPr>
            <w:tcW w:type="dxa" w:w="7704"/>
            <w:shd w:fill="F8FAFA"/>
          </w:tcPr>
          <w:p>
            <w:pPr>
              <w:jc w:val="left"/>
            </w:pPr>
            <w:r>
              <w:rPr>
                <w:sz w:val="18"/>
              </w:rPr>
              <w:t>Photogrammetry walkthrough</w:t>
            </w:r>
          </w:p>
        </w:tc>
      </w:tr>
      <w:tr>
        <w:tc>
          <w:tcPr>
            <w:tcW w:type="dxa" w:w="1656"/>
          </w:tcPr>
          <w:p>
            <w:pPr>
              <w:jc w:val="center"/>
            </w:pPr>
            <w:r>
              <w:rPr>
                <w:sz w:val="18"/>
              </w:rPr>
              <w:t>25-43</w:t>
            </w:r>
          </w:p>
        </w:tc>
        <w:tc>
          <w:tcPr>
            <w:tcW w:type="dxa" w:w="7704"/>
          </w:tcPr>
          <w:p>
            <w:pPr>
              <w:jc w:val="left"/>
            </w:pPr>
            <w:r>
              <w:rPr>
                <w:sz w:val="18"/>
              </w:rPr>
              <w:t>Workflow sequencing and product match</w:t>
            </w:r>
          </w:p>
        </w:tc>
      </w:tr>
      <w:tr>
        <w:tc>
          <w:tcPr>
            <w:tcW w:type="dxa" w:w="1656"/>
            <w:shd w:fill="F8FAFA"/>
          </w:tcPr>
          <w:p>
            <w:pPr>
              <w:jc w:val="center"/>
            </w:pPr>
            <w:r>
              <w:rPr>
                <w:sz w:val="18"/>
              </w:rPr>
              <w:t>43-54</w:t>
            </w:r>
          </w:p>
        </w:tc>
        <w:tc>
          <w:tcPr>
            <w:tcW w:type="dxa" w:w="7704"/>
            <w:shd w:fill="F8FAFA"/>
          </w:tcPr>
          <w:p>
            <w:pPr>
              <w:jc w:val="left"/>
            </w:pPr>
            <w:r>
              <w:rPr>
                <w:sz w:val="18"/>
              </w:rPr>
              <w:t>Quality-control failure analysis</w:t>
            </w:r>
          </w:p>
        </w:tc>
      </w:tr>
      <w:tr>
        <w:tc>
          <w:tcPr>
            <w:tcW w:type="dxa" w:w="1656"/>
          </w:tcPr>
          <w:p>
            <w:pPr>
              <w:jc w:val="center"/>
            </w:pPr>
            <w:r>
              <w:rPr>
                <w:sz w:val="18"/>
              </w:rPr>
              <w:t>54-60</w:t>
            </w:r>
          </w:p>
        </w:tc>
        <w:tc>
          <w:tcPr>
            <w:tcW w:type="dxa" w:w="7704"/>
          </w:tcPr>
          <w:p>
            <w:pPr>
              <w:jc w:val="left"/>
            </w:pPr>
            <w:r>
              <w:rPr>
                <w:sz w:val="18"/>
              </w:rPr>
              <w:t>One-minute explanation</w:t>
            </w:r>
          </w:p>
        </w:tc>
      </w:tr>
    </w:tbl>
    <w:p>
      <w:pPr>
        <w:spacing w:after="0"/>
      </w:pPr>
    </w:p>
    <w:p>
      <w:pPr>
        <w:pStyle w:val="Heading2"/>
      </w:pPr>
      <w:r>
        <w:t>Instructor moves</w:t>
      </w:r>
    </w:p>
    <w:p>
      <w:r>
        <w:t>Keep the processing explanation conceptual: software finds common features, estimates camera geometry, reconstructs a 3D scene, and projects outputs. Avoid implying that all outputs represent bare-earth elevation.</w:t>
      </w:r>
    </w:p>
    <w:p>
      <w:pPr>
        <w:pStyle w:val="Heading2"/>
      </w:pPr>
      <w:r>
        <w:t>Formative evidence</w:t>
      </w:r>
    </w:p>
    <w:p>
      <w:r>
        <w:t>Explain why a digital surface model may show treetops and buildings rather than ground elevation.</w:t>
      </w:r>
    </w:p>
    <w:p>
      <w:pPr>
        <w:pStyle w:val="Heading2"/>
      </w:pPr>
      <w:r>
        <w:t>Misconception to surface</w:t>
      </w:r>
    </w:p>
    <w:p>
      <w:r>
        <w:t>An orthomosaic is corrected and georeferenced, but it is still subject to positional and reconstruction error.</w:t>
      </w:r>
    </w:p>
    <w:p>
      <w:pPr>
        <w:pStyle w:val="Heading2"/>
      </w:pPr>
      <w:r>
        <w:t>Access and extension</w:t>
      </w:r>
    </w:p>
    <w:p>
      <w:r>
        <w:t>Provide numbered workflow cards. Extension: compare a digital surface model with a bare-earth terrain model.</w:t>
      </w:r>
    </w:p>
    <w:p>
      <w:r>
        <w:br w:type="page"/>
      </w:r>
    </w:p>
    <w:p>
      <w:pPr>
        <w:pStyle w:val="Heading1"/>
      </w:pPr>
      <w:r>
        <w:t>Day 7: Environmental Applications Case-Study Stations</w:t>
      </w:r>
    </w:p>
    <w:tbl>
      <w:tblPr>
        <w:tblW w:type="dxa" w:w="9360"/>
        <w:tblLook w:firstColumn="1" w:firstRow="1" w:lastColumn="0" w:lastRow="0" w:noHBand="0" w:noVBand="1" w:val="04A0"/>
        <w:tblLayout w:type="fixed"/>
        <w:tblInd w:w="120" w:type="dxa"/>
        <w:tblBorders>
          <w:top w:val="single" w:sz="6" w:color="BFD7D2"/>
          <w:left w:val="single" w:sz="6" w:color="BFD7D2"/>
          <w:bottom w:val="single" w:sz="6" w:color="BFD7D2"/>
          <w:right w:val="single" w:sz="6" w:color="BFD7D2"/>
          <w:insideH w:val="single" w:sz="6" w:color="BFD7D2"/>
          <w:insideV w:val="single" w:sz="6" w:color="BFD7D2"/>
        </w:tblBorders>
      </w:tblPr>
      <w:tblGrid>
        <w:gridCol w:w="9360"/>
      </w:tblGrid>
      <w:tr>
        <w:tc>
          <w:tcPr>
            <w:tcW w:type="dxa" w:w="9360"/>
            <w:tcMar>
              <w:top w:w="100" w:type="dxa"/>
              <w:start w:w="120" w:type="dxa"/>
              <w:bottom w:w="100" w:type="dxa"/>
              <w:end w:w="120" w:type="dxa"/>
            </w:tcMar>
            <w:vAlign w:val="center"/>
            <w:shd w:fill="EAF3F1"/>
          </w:tcPr>
          <w:p>
            <w:r>
              <w:rPr>
                <w:b/>
                <w:color w:val="247B78"/>
              </w:rPr>
              <w:t xml:space="preserve">Essential question  </w:t>
            </w:r>
            <w:r>
              <w:t>How does the environmental question shape the sensing strategy?</w:t>
            </w:r>
          </w:p>
        </w:tc>
      </w:tr>
    </w:tbl>
    <w:p>
      <w:pPr>
        <w:spacing w:after="0"/>
      </w:pPr>
    </w:p>
    <w:p>
      <w:pPr>
        <w:pStyle w:val="Heading2"/>
      </w:pPr>
      <w:r>
        <w:t>Measurable objectives</w:t>
      </w:r>
    </w:p>
    <w:p>
      <w:pPr>
        <w:pStyle w:val="ListBullet"/>
      </w:pPr>
      <w:r>
        <w:t>Compare sUAS applications in agriculture, wetlands, coasts, and forests.</w:t>
      </w:r>
    </w:p>
    <w:p>
      <w:pPr>
        <w:pStyle w:val="ListBullet"/>
      </w:pPr>
      <w:r>
        <w:t>Select sensors and resolutions for different questions.</w:t>
      </w:r>
    </w:p>
    <w:p>
      <w:pPr>
        <w:pStyle w:val="ListBullet"/>
      </w:pPr>
      <w:r>
        <w:t>Identify complementary field data and limitations.</w:t>
      </w:r>
    </w:p>
    <w:p>
      <w:pPr>
        <w:pStyle w:val="Heading2"/>
      </w:pPr>
      <w:r>
        <w:t>Preparation and materials</w:t>
      </w:r>
    </w:p>
    <w:p>
      <w:r>
        <w:t>Four station cards; case-study response matrix; timer; sensor reference.</w:t>
      </w:r>
    </w:p>
    <w:p>
      <w:pPr>
        <w:pStyle w:val="Heading2"/>
      </w:pPr>
      <w:r>
        <w:t>Suggested 60-minute sequence</w:t>
      </w:r>
    </w:p>
    <w:tbl>
      <w:tblPr>
        <w:tblW w:type="dxa" w:w="9360"/>
        <w:jc w:val="center"/>
        <w:tblLayout w:type="fixed"/>
        <w:tblLook w:firstColumn="1" w:firstRow="1" w:lastColumn="0" w:lastRow="0" w:noHBand="0" w:noVBand="1" w:val="04A0"/>
        <w:tblInd w:w="120" w:type="dxa"/>
        <w:tblBorders>
          <w:top w:val="single" w:sz="6" w:color="CBD5D9"/>
          <w:left w:val="single" w:sz="6" w:color="CBD5D9"/>
          <w:bottom w:val="single" w:sz="6" w:color="CBD5D9"/>
          <w:right w:val="single" w:sz="6" w:color="CBD5D9"/>
          <w:insideH w:val="single" w:sz="6" w:color="CBD5D9"/>
          <w:insideV w:val="single" w:sz="6" w:color="CBD5D9"/>
        </w:tblBorders>
      </w:tblPr>
      <w:tblGrid>
        <w:gridCol w:w="1656"/>
        <w:gridCol w:w="7704"/>
      </w:tblGrid>
      <w:tr>
        <w:trPr>
          <w:tblHeader w:val="true"/>
        </w:trPr>
        <w:tc>
          <w:tcPr>
            <w:tcW w:type="dxa" w:w="1656"/>
            <w:tcMar>
              <w:top w:w="100" w:type="dxa"/>
              <w:start w:w="120" w:type="dxa"/>
              <w:bottom w:w="100" w:type="dxa"/>
              <w:end w:w="120" w:type="dxa"/>
            </w:tcMar>
            <w:vAlign w:val="center"/>
            <w:shd w:fill="17324D"/>
          </w:tcPr>
          <w:p>
            <w:pPr>
              <w:jc w:val="center"/>
            </w:pPr>
            <w:r>
              <w:rPr>
                <w:b/>
                <w:color w:val="FFFFFF"/>
                <w:sz w:val="18"/>
              </w:rPr>
              <w:t>Minutes</w:t>
            </w:r>
          </w:p>
        </w:tc>
        <w:tc>
          <w:tcPr>
            <w:tcW w:type="dxa" w:w="7704"/>
            <w:tcMar>
              <w:top w:w="100" w:type="dxa"/>
              <w:start w:w="120" w:type="dxa"/>
              <w:bottom w:w="100" w:type="dxa"/>
              <w:end w:w="120" w:type="dxa"/>
            </w:tcMar>
            <w:vAlign w:val="center"/>
            <w:shd w:fill="17324D"/>
          </w:tcPr>
          <w:p>
            <w:pPr>
              <w:jc w:val="center"/>
            </w:pPr>
            <w:r>
              <w:rPr>
                <w:b/>
                <w:color w:val="FFFFFF"/>
                <w:sz w:val="18"/>
              </w:rPr>
              <w:t>Learning experience</w:t>
            </w:r>
          </w:p>
        </w:tc>
      </w:tr>
      <w:tr>
        <w:tc>
          <w:tcPr>
            <w:tcW w:type="dxa" w:w="1656"/>
          </w:tcPr>
          <w:p>
            <w:pPr>
              <w:jc w:val="center"/>
            </w:pPr>
            <w:r>
              <w:rPr>
                <w:sz w:val="18"/>
              </w:rPr>
              <w:t>0-7</w:t>
            </w:r>
          </w:p>
        </w:tc>
        <w:tc>
          <w:tcPr>
            <w:tcW w:type="dxa" w:w="7704"/>
          </w:tcPr>
          <w:p>
            <w:pPr>
              <w:jc w:val="left"/>
            </w:pPr>
            <w:r>
              <w:rPr>
                <w:sz w:val="18"/>
              </w:rPr>
              <w:t>Set station norms</w:t>
            </w:r>
          </w:p>
        </w:tc>
      </w:tr>
      <w:tr>
        <w:tc>
          <w:tcPr>
            <w:tcW w:type="dxa" w:w="1656"/>
            <w:shd w:fill="F8FAFA"/>
          </w:tcPr>
          <w:p>
            <w:pPr>
              <w:jc w:val="center"/>
            </w:pPr>
            <w:r>
              <w:rPr>
                <w:sz w:val="18"/>
              </w:rPr>
              <w:t>7-43</w:t>
            </w:r>
          </w:p>
        </w:tc>
        <w:tc>
          <w:tcPr>
            <w:tcW w:type="dxa" w:w="7704"/>
            <w:shd w:fill="F8FAFA"/>
          </w:tcPr>
          <w:p>
            <w:pPr>
              <w:jc w:val="left"/>
            </w:pPr>
            <w:r>
              <w:rPr>
                <w:sz w:val="18"/>
              </w:rPr>
              <w:t>Four 9-minute stations</w:t>
            </w:r>
          </w:p>
        </w:tc>
      </w:tr>
      <w:tr>
        <w:tc>
          <w:tcPr>
            <w:tcW w:type="dxa" w:w="1656"/>
          </w:tcPr>
          <w:p>
            <w:pPr>
              <w:jc w:val="center"/>
            </w:pPr>
            <w:r>
              <w:rPr>
                <w:sz w:val="18"/>
              </w:rPr>
              <w:t>43-53</w:t>
            </w:r>
          </w:p>
        </w:tc>
        <w:tc>
          <w:tcPr>
            <w:tcW w:type="dxa" w:w="7704"/>
          </w:tcPr>
          <w:p>
            <w:pPr>
              <w:jc w:val="left"/>
            </w:pPr>
            <w:r>
              <w:rPr>
                <w:sz w:val="18"/>
              </w:rPr>
              <w:t>Cross-case synthesis</w:t>
            </w:r>
          </w:p>
        </w:tc>
      </w:tr>
      <w:tr>
        <w:tc>
          <w:tcPr>
            <w:tcW w:type="dxa" w:w="1656"/>
            <w:shd w:fill="F8FAFA"/>
          </w:tcPr>
          <w:p>
            <w:pPr>
              <w:jc w:val="center"/>
            </w:pPr>
            <w:r>
              <w:rPr>
                <w:sz w:val="18"/>
              </w:rPr>
              <w:t>53-60</w:t>
            </w:r>
          </w:p>
        </w:tc>
        <w:tc>
          <w:tcPr>
            <w:tcW w:type="dxa" w:w="7704"/>
            <w:shd w:fill="F8FAFA"/>
          </w:tcPr>
          <w:p>
            <w:pPr>
              <w:jc w:val="left"/>
            </w:pPr>
            <w:r>
              <w:rPr>
                <w:sz w:val="18"/>
              </w:rPr>
              <w:t>Most uncertain case exit ticket</w:t>
            </w:r>
          </w:p>
        </w:tc>
      </w:tr>
    </w:tbl>
    <w:p>
      <w:pPr>
        <w:spacing w:after="0"/>
      </w:pPr>
    </w:p>
    <w:p>
      <w:pPr>
        <w:pStyle w:val="Heading2"/>
      </w:pPr>
      <w:r>
        <w:t>Instructor moves</w:t>
      </w:r>
    </w:p>
    <w:p>
      <w:r>
        <w:t>At every station, ask what the imagery measures, what is inferred, and what ground evidence would challenge the inference.</w:t>
      </w:r>
    </w:p>
    <w:p>
      <w:pPr>
        <w:pStyle w:val="Heading2"/>
      </w:pPr>
      <w:r>
        <w:t>Formative evidence</w:t>
      </w:r>
    </w:p>
    <w:p>
      <w:r>
        <w:t>Choose the case with the greatest uncertainty and identify a field measurement that would reduce it.</w:t>
      </w:r>
    </w:p>
    <w:p>
      <w:pPr>
        <w:pStyle w:val="Heading2"/>
      </w:pPr>
      <w:r>
        <w:t>Misconception to surface</w:t>
      </w:r>
    </w:p>
    <w:p>
      <w:r>
        <w:t>A single sensor or index is not universally best across environmental problems.</w:t>
      </w:r>
    </w:p>
    <w:p>
      <w:pPr>
        <w:pStyle w:val="Heading2"/>
      </w:pPr>
      <w:r>
        <w:t>Access and extension</w:t>
      </w:r>
    </w:p>
    <w:p>
      <w:r>
        <w:t>Assign group roles and allow two deeper stations instead of four. Extension: add costs and regulatory constraints to the recommendation.</w:t>
      </w:r>
    </w:p>
    <w:p>
      <w:r>
        <w:br w:type="page"/>
      </w:r>
    </w:p>
    <w:p>
      <w:pPr>
        <w:pStyle w:val="Heading1"/>
      </w:pPr>
      <w:r>
        <w:t>Day 8: Accuracy, Ethics, Safety, and Regulation</w:t>
      </w:r>
    </w:p>
    <w:tbl>
      <w:tblPr>
        <w:tblW w:type="dxa" w:w="9360"/>
        <w:tblLook w:firstColumn="1" w:firstRow="1" w:lastColumn="0" w:lastRow="0" w:noHBand="0" w:noVBand="1" w:val="04A0"/>
        <w:tblLayout w:type="fixed"/>
        <w:tblInd w:w="120" w:type="dxa"/>
        <w:tblBorders>
          <w:top w:val="single" w:sz="6" w:color="BFD7D2"/>
          <w:left w:val="single" w:sz="6" w:color="BFD7D2"/>
          <w:bottom w:val="single" w:sz="6" w:color="BFD7D2"/>
          <w:right w:val="single" w:sz="6" w:color="BFD7D2"/>
          <w:insideH w:val="single" w:sz="6" w:color="BFD7D2"/>
          <w:insideV w:val="single" w:sz="6" w:color="BFD7D2"/>
        </w:tblBorders>
      </w:tblPr>
      <w:tblGrid>
        <w:gridCol w:w="9360"/>
      </w:tblGrid>
      <w:tr>
        <w:tc>
          <w:tcPr>
            <w:tcW w:type="dxa" w:w="9360"/>
            <w:tcMar>
              <w:top w:w="100" w:type="dxa"/>
              <w:start w:w="120" w:type="dxa"/>
              <w:bottom w:w="100" w:type="dxa"/>
              <w:end w:w="120" w:type="dxa"/>
            </w:tcMar>
            <w:vAlign w:val="center"/>
            <w:shd w:fill="EAF3F1"/>
          </w:tcPr>
          <w:p>
            <w:r>
              <w:rPr>
                <w:b/>
                <w:color w:val="247B78"/>
              </w:rPr>
              <w:t xml:space="preserve">Essential question  </w:t>
            </w:r>
            <w:r>
              <w:t>When is a technically possible drone investigation scientifically and socially responsible?</w:t>
            </w:r>
          </w:p>
        </w:tc>
      </w:tr>
    </w:tbl>
    <w:p>
      <w:pPr>
        <w:spacing w:after="0"/>
      </w:pPr>
    </w:p>
    <w:p>
      <w:pPr>
        <w:pStyle w:val="Heading2"/>
      </w:pPr>
      <w:r>
        <w:t>Measurable objectives</w:t>
      </w:r>
    </w:p>
    <w:p>
      <w:pPr>
        <w:pStyle w:val="ListBullet"/>
      </w:pPr>
      <w:r>
        <w:t>Identify environmental, geometric, and procedural sources of uncertainty.</w:t>
      </w:r>
    </w:p>
    <w:p>
      <w:pPr>
        <w:pStyle w:val="ListBullet"/>
      </w:pPr>
      <w:r>
        <w:t>Evaluate privacy, wildlife, equity, and data-governance concerns.</w:t>
      </w:r>
    </w:p>
    <w:p>
      <w:pPr>
        <w:pStyle w:val="ListBullet"/>
      </w:pPr>
      <w:r>
        <w:t>Explain why real operations require current rule, airspace, site, and safety checks.</w:t>
      </w:r>
    </w:p>
    <w:p>
      <w:pPr>
        <w:pStyle w:val="Heading2"/>
      </w:pPr>
      <w:r>
        <w:t>Preparation and materials</w:t>
      </w:r>
    </w:p>
    <w:p>
      <w:r>
        <w:t>Scenario cards; CER organizer; current FAA webpage; local/site policy placeholder.</w:t>
      </w:r>
    </w:p>
    <w:p>
      <w:pPr>
        <w:pStyle w:val="Heading2"/>
      </w:pPr>
      <w:r>
        <w:t>Suggested 60-minute sequence</w:t>
      </w:r>
    </w:p>
    <w:tbl>
      <w:tblPr>
        <w:tblW w:type="dxa" w:w="9360"/>
        <w:jc w:val="center"/>
        <w:tblLayout w:type="fixed"/>
        <w:tblLook w:firstColumn="1" w:firstRow="1" w:lastColumn="0" w:lastRow="0" w:noHBand="0" w:noVBand="1" w:val="04A0"/>
        <w:tblInd w:w="120" w:type="dxa"/>
        <w:tblBorders>
          <w:top w:val="single" w:sz="6" w:color="CBD5D9"/>
          <w:left w:val="single" w:sz="6" w:color="CBD5D9"/>
          <w:bottom w:val="single" w:sz="6" w:color="CBD5D9"/>
          <w:right w:val="single" w:sz="6" w:color="CBD5D9"/>
          <w:insideH w:val="single" w:sz="6" w:color="CBD5D9"/>
          <w:insideV w:val="single" w:sz="6" w:color="CBD5D9"/>
        </w:tblBorders>
      </w:tblPr>
      <w:tblGrid>
        <w:gridCol w:w="1656"/>
        <w:gridCol w:w="7704"/>
      </w:tblGrid>
      <w:tr>
        <w:trPr>
          <w:tblHeader w:val="true"/>
        </w:trPr>
        <w:tc>
          <w:tcPr>
            <w:tcW w:type="dxa" w:w="1656"/>
            <w:tcMar>
              <w:top w:w="100" w:type="dxa"/>
              <w:start w:w="120" w:type="dxa"/>
              <w:bottom w:w="100" w:type="dxa"/>
              <w:end w:w="120" w:type="dxa"/>
            </w:tcMar>
            <w:vAlign w:val="center"/>
            <w:shd w:fill="17324D"/>
          </w:tcPr>
          <w:p>
            <w:pPr>
              <w:jc w:val="center"/>
            </w:pPr>
            <w:r>
              <w:rPr>
                <w:b/>
                <w:color w:val="FFFFFF"/>
                <w:sz w:val="18"/>
              </w:rPr>
              <w:t>Minutes</w:t>
            </w:r>
          </w:p>
        </w:tc>
        <w:tc>
          <w:tcPr>
            <w:tcW w:type="dxa" w:w="7704"/>
            <w:tcMar>
              <w:top w:w="100" w:type="dxa"/>
              <w:start w:w="120" w:type="dxa"/>
              <w:bottom w:w="100" w:type="dxa"/>
              <w:end w:w="120" w:type="dxa"/>
            </w:tcMar>
            <w:vAlign w:val="center"/>
            <w:shd w:fill="17324D"/>
          </w:tcPr>
          <w:p>
            <w:pPr>
              <w:jc w:val="center"/>
            </w:pPr>
            <w:r>
              <w:rPr>
                <w:b/>
                <w:color w:val="FFFFFF"/>
                <w:sz w:val="18"/>
              </w:rPr>
              <w:t>Learning experience</w:t>
            </w:r>
          </w:p>
        </w:tc>
      </w:tr>
      <w:tr>
        <w:tc>
          <w:tcPr>
            <w:tcW w:type="dxa" w:w="1656"/>
          </w:tcPr>
          <w:p>
            <w:pPr>
              <w:jc w:val="center"/>
            </w:pPr>
            <w:r>
              <w:rPr>
                <w:sz w:val="18"/>
              </w:rPr>
              <w:t>0-10</w:t>
            </w:r>
          </w:p>
        </w:tc>
        <w:tc>
          <w:tcPr>
            <w:tcW w:type="dxa" w:w="7704"/>
          </w:tcPr>
          <w:p>
            <w:pPr>
              <w:jc w:val="left"/>
            </w:pPr>
            <w:r>
              <w:rPr>
                <w:sz w:val="18"/>
              </w:rPr>
              <w:t>Error-source sort</w:t>
            </w:r>
          </w:p>
        </w:tc>
      </w:tr>
      <w:tr>
        <w:tc>
          <w:tcPr>
            <w:tcW w:type="dxa" w:w="1656"/>
            <w:shd w:fill="F8FAFA"/>
          </w:tcPr>
          <w:p>
            <w:pPr>
              <w:jc w:val="center"/>
            </w:pPr>
            <w:r>
              <w:rPr>
                <w:sz w:val="18"/>
              </w:rPr>
              <w:t>10-24</w:t>
            </w:r>
          </w:p>
        </w:tc>
        <w:tc>
          <w:tcPr>
            <w:tcW w:type="dxa" w:w="7704"/>
            <w:shd w:fill="F8FAFA"/>
          </w:tcPr>
          <w:p>
            <w:pPr>
              <w:jc w:val="left"/>
            </w:pPr>
            <w:r>
              <w:rPr>
                <w:sz w:val="18"/>
              </w:rPr>
              <w:t>Safety and rule framework</w:t>
            </w:r>
          </w:p>
        </w:tc>
      </w:tr>
      <w:tr>
        <w:tc>
          <w:tcPr>
            <w:tcW w:type="dxa" w:w="1656"/>
          </w:tcPr>
          <w:p>
            <w:pPr>
              <w:jc w:val="center"/>
            </w:pPr>
            <w:r>
              <w:rPr>
                <w:sz w:val="18"/>
              </w:rPr>
              <w:t>24-44</w:t>
            </w:r>
          </w:p>
        </w:tc>
        <w:tc>
          <w:tcPr>
            <w:tcW w:type="dxa" w:w="7704"/>
          </w:tcPr>
          <w:p>
            <w:pPr>
              <w:jc w:val="left"/>
            </w:pPr>
            <w:r>
              <w:rPr>
                <w:sz w:val="18"/>
              </w:rPr>
              <w:t>Ethics scenarios</w:t>
            </w:r>
          </w:p>
        </w:tc>
      </w:tr>
      <w:tr>
        <w:tc>
          <w:tcPr>
            <w:tcW w:type="dxa" w:w="1656"/>
            <w:shd w:fill="F8FAFA"/>
          </w:tcPr>
          <w:p>
            <w:pPr>
              <w:jc w:val="center"/>
            </w:pPr>
            <w:r>
              <w:rPr>
                <w:sz w:val="18"/>
              </w:rPr>
              <w:t>44-55</w:t>
            </w:r>
          </w:p>
        </w:tc>
        <w:tc>
          <w:tcPr>
            <w:tcW w:type="dxa" w:w="7704"/>
            <w:shd w:fill="F8FAFA"/>
          </w:tcPr>
          <w:p>
            <w:pPr>
              <w:jc w:val="left"/>
            </w:pPr>
            <w:r>
              <w:rPr>
                <w:sz w:val="18"/>
              </w:rPr>
              <w:t>CER: replace field sampling?</w:t>
            </w:r>
          </w:p>
        </w:tc>
      </w:tr>
      <w:tr>
        <w:tc>
          <w:tcPr>
            <w:tcW w:type="dxa" w:w="1656"/>
          </w:tcPr>
          <w:p>
            <w:pPr>
              <w:jc w:val="center"/>
            </w:pPr>
            <w:r>
              <w:rPr>
                <w:sz w:val="18"/>
              </w:rPr>
              <w:t>55-60</w:t>
            </w:r>
          </w:p>
        </w:tc>
        <w:tc>
          <w:tcPr>
            <w:tcW w:type="dxa" w:w="7704"/>
          </w:tcPr>
          <w:p>
            <w:pPr>
              <w:jc w:val="left"/>
            </w:pPr>
            <w:r>
              <w:rPr>
                <w:sz w:val="18"/>
              </w:rPr>
              <w:t>Commitment to responsible evidence</w:t>
            </w:r>
          </w:p>
        </w:tc>
      </w:tr>
    </w:tbl>
    <w:p>
      <w:pPr>
        <w:spacing w:after="0"/>
      </w:pPr>
    </w:p>
    <w:p>
      <w:pPr>
        <w:pStyle w:val="Heading2"/>
      </w:pPr>
      <w:r>
        <w:t>Instructor moves</w:t>
      </w:r>
    </w:p>
    <w:p>
      <w:r>
        <w:t>Do not turn this into flight training. Emphasize that Part 107, recreational rules, Remote ID, airspace authorization, site permission, privacy, wildlife, and local requirements must be checked for an actual mission.</w:t>
      </w:r>
    </w:p>
    <w:p>
      <w:pPr>
        <w:pStyle w:val="Heading2"/>
      </w:pPr>
      <w:r>
        <w:t>Formative evidence</w:t>
      </w:r>
    </w:p>
    <w:p>
      <w:r>
        <w:t>CER response to: 'Drone remote sensing should replace most ground-based environmental monitoring.'</w:t>
      </w:r>
    </w:p>
    <w:p>
      <w:pPr>
        <w:pStyle w:val="Heading2"/>
      </w:pPr>
      <w:r>
        <w:t>Misconception to surface</w:t>
      </w:r>
    </w:p>
    <w:p>
      <w:r>
        <w:t>Legal permission does not by itself establish ethical, ecologically responsible, or scientifically valid practice.</w:t>
      </w:r>
    </w:p>
    <w:p>
      <w:pPr>
        <w:pStyle w:val="Heading2"/>
      </w:pPr>
      <w:r>
        <w:t>Access and extension</w:t>
      </w:r>
    </w:p>
    <w:p>
      <w:r>
        <w:t>Provide a CER frame and allow recorded responses. Extension: write a data-governance clause for a community project.</w:t>
      </w:r>
    </w:p>
    <w:p>
      <w:r>
        <w:br w:type="page"/>
      </w:r>
    </w:p>
    <w:p>
      <w:pPr>
        <w:pStyle w:val="Heading1"/>
      </w:pPr>
      <w:r>
        <w:t>Day 9: Capstone Investigation: Analyze the Evidence</w:t>
      </w:r>
    </w:p>
    <w:tbl>
      <w:tblPr>
        <w:tblW w:type="dxa" w:w="9360"/>
        <w:tblLook w:firstColumn="1" w:firstRow="1" w:lastColumn="0" w:lastRow="0" w:noHBand="0" w:noVBand="1" w:val="04A0"/>
        <w:tblLayout w:type="fixed"/>
        <w:tblInd w:w="120" w:type="dxa"/>
        <w:tblBorders>
          <w:top w:val="single" w:sz="6" w:color="BFD7D2"/>
          <w:left w:val="single" w:sz="6" w:color="BFD7D2"/>
          <w:bottom w:val="single" w:sz="6" w:color="BFD7D2"/>
          <w:right w:val="single" w:sz="6" w:color="BFD7D2"/>
          <w:insideH w:val="single" w:sz="6" w:color="BFD7D2"/>
          <w:insideV w:val="single" w:sz="6" w:color="BFD7D2"/>
        </w:tblBorders>
      </w:tblPr>
      <w:tblGrid>
        <w:gridCol w:w="9360"/>
      </w:tblGrid>
      <w:tr>
        <w:tc>
          <w:tcPr>
            <w:tcW w:type="dxa" w:w="9360"/>
            <w:tcMar>
              <w:top w:w="100" w:type="dxa"/>
              <w:start w:w="120" w:type="dxa"/>
              <w:bottom w:w="100" w:type="dxa"/>
              <w:end w:w="120" w:type="dxa"/>
            </w:tcMar>
            <w:vAlign w:val="center"/>
            <w:shd w:fill="EAF3F1"/>
          </w:tcPr>
          <w:p>
            <w:r>
              <w:rPr>
                <w:b/>
                <w:color w:val="247B78"/>
              </w:rPr>
              <w:t xml:space="preserve">Essential question  </w:t>
            </w:r>
            <w:r>
              <w:t>Which part of Marshview Wetland should be investigated first, and why?</w:t>
            </w:r>
          </w:p>
        </w:tc>
      </w:tr>
    </w:tbl>
    <w:p>
      <w:pPr>
        <w:spacing w:after="0"/>
      </w:pPr>
    </w:p>
    <w:p>
      <w:pPr>
        <w:pStyle w:val="Heading2"/>
      </w:pPr>
      <w:r>
        <w:t>Measurable objectives</w:t>
      </w:r>
    </w:p>
    <w:p>
      <w:pPr>
        <w:pStyle w:val="ListBullet"/>
      </w:pPr>
      <w:r>
        <w:t>Analyze a simulated natural-color orthomosaic, NDVI surface, and field table from a DJI Mavic 3 Multispectral demonstration mission flown at 200 ft AGL (61 m).</w:t>
      </w:r>
    </w:p>
    <w:p>
      <w:pPr>
        <w:pStyle w:val="ListBullet"/>
      </w:pPr>
      <w:r>
        <w:t>Use quantitative and qualitative evidence in a defensible claim.</w:t>
      </w:r>
    </w:p>
    <w:p>
      <w:pPr>
        <w:pStyle w:val="ListBullet"/>
      </w:pPr>
      <w:r>
        <w:t>Identify limitations and propose additional data collection.</w:t>
      </w:r>
    </w:p>
    <w:p>
      <w:pPr>
        <w:pStyle w:val="Heading2"/>
      </w:pPr>
      <w:r>
        <w:t>Preparation and materials</w:t>
      </w:r>
    </w:p>
    <w:p>
      <w:r>
        <w:t>Capstone packet; maps; sample data; calculator; planning organizer; rubric.</w:t>
      </w:r>
    </w:p>
    <w:p>
      <w:pPr>
        <w:pStyle w:val="Heading2"/>
      </w:pPr>
      <w:r>
        <w:t>Suggested 60-minute sequence</w:t>
      </w:r>
    </w:p>
    <w:tbl>
      <w:tblPr>
        <w:tblW w:type="dxa" w:w="9360"/>
        <w:jc w:val="center"/>
        <w:tblLayout w:type="fixed"/>
        <w:tblLook w:firstColumn="1" w:firstRow="1" w:lastColumn="0" w:lastRow="0" w:noHBand="0" w:noVBand="1" w:val="04A0"/>
        <w:tblInd w:w="120" w:type="dxa"/>
        <w:tblBorders>
          <w:top w:val="single" w:sz="6" w:color="CBD5D9"/>
          <w:left w:val="single" w:sz="6" w:color="CBD5D9"/>
          <w:bottom w:val="single" w:sz="6" w:color="CBD5D9"/>
          <w:right w:val="single" w:sz="6" w:color="CBD5D9"/>
          <w:insideH w:val="single" w:sz="6" w:color="CBD5D9"/>
          <w:insideV w:val="single" w:sz="6" w:color="CBD5D9"/>
        </w:tblBorders>
      </w:tblPr>
      <w:tblGrid>
        <w:gridCol w:w="1656"/>
        <w:gridCol w:w="7704"/>
      </w:tblGrid>
      <w:tr>
        <w:trPr>
          <w:tblHeader w:val="true"/>
        </w:trPr>
        <w:tc>
          <w:tcPr>
            <w:tcW w:type="dxa" w:w="1656"/>
            <w:tcMar>
              <w:top w:w="100" w:type="dxa"/>
              <w:start w:w="120" w:type="dxa"/>
              <w:bottom w:w="100" w:type="dxa"/>
              <w:end w:w="120" w:type="dxa"/>
            </w:tcMar>
            <w:vAlign w:val="center"/>
            <w:shd w:fill="17324D"/>
          </w:tcPr>
          <w:p>
            <w:pPr>
              <w:jc w:val="center"/>
            </w:pPr>
            <w:r>
              <w:rPr>
                <w:b/>
                <w:color w:val="FFFFFF"/>
                <w:sz w:val="18"/>
              </w:rPr>
              <w:t>Minutes</w:t>
            </w:r>
          </w:p>
        </w:tc>
        <w:tc>
          <w:tcPr>
            <w:tcW w:type="dxa" w:w="7704"/>
            <w:tcMar>
              <w:top w:w="100" w:type="dxa"/>
              <w:start w:w="120" w:type="dxa"/>
              <w:bottom w:w="100" w:type="dxa"/>
              <w:end w:w="120" w:type="dxa"/>
            </w:tcMar>
            <w:vAlign w:val="center"/>
            <w:shd w:fill="17324D"/>
          </w:tcPr>
          <w:p>
            <w:pPr>
              <w:jc w:val="center"/>
            </w:pPr>
            <w:r>
              <w:rPr>
                <w:b/>
                <w:color w:val="FFFFFF"/>
                <w:sz w:val="18"/>
              </w:rPr>
              <w:t>Learning experience</w:t>
            </w:r>
          </w:p>
        </w:tc>
      </w:tr>
      <w:tr>
        <w:tc>
          <w:tcPr>
            <w:tcW w:type="dxa" w:w="1656"/>
          </w:tcPr>
          <w:p>
            <w:pPr>
              <w:jc w:val="center"/>
            </w:pPr>
            <w:r>
              <w:rPr>
                <w:sz w:val="18"/>
              </w:rPr>
              <w:t>0-8</w:t>
            </w:r>
          </w:p>
        </w:tc>
        <w:tc>
          <w:tcPr>
            <w:tcW w:type="dxa" w:w="7704"/>
          </w:tcPr>
          <w:p>
            <w:pPr>
              <w:jc w:val="left"/>
            </w:pPr>
            <w:r>
              <w:rPr>
                <w:sz w:val="18"/>
              </w:rPr>
              <w:t>Client briefing</w:t>
            </w:r>
          </w:p>
        </w:tc>
      </w:tr>
      <w:tr>
        <w:tc>
          <w:tcPr>
            <w:tcW w:type="dxa" w:w="1656"/>
            <w:shd w:fill="F8FAFA"/>
          </w:tcPr>
          <w:p>
            <w:pPr>
              <w:jc w:val="center"/>
            </w:pPr>
            <w:r>
              <w:rPr>
                <w:sz w:val="18"/>
              </w:rPr>
              <w:t>8-18</w:t>
            </w:r>
          </w:p>
        </w:tc>
        <w:tc>
          <w:tcPr>
            <w:tcW w:type="dxa" w:w="7704"/>
            <w:shd w:fill="F8FAFA"/>
          </w:tcPr>
          <w:p>
            <w:pPr>
              <w:jc w:val="left"/>
            </w:pPr>
            <w:r>
              <w:rPr>
                <w:sz w:val="18"/>
              </w:rPr>
              <w:t>Individual noticing</w:t>
            </w:r>
          </w:p>
        </w:tc>
      </w:tr>
      <w:tr>
        <w:tc>
          <w:tcPr>
            <w:tcW w:type="dxa" w:w="1656"/>
          </w:tcPr>
          <w:p>
            <w:pPr>
              <w:jc w:val="center"/>
            </w:pPr>
            <w:r>
              <w:rPr>
                <w:sz w:val="18"/>
              </w:rPr>
              <w:t>18-42</w:t>
            </w:r>
          </w:p>
        </w:tc>
        <w:tc>
          <w:tcPr>
            <w:tcW w:type="dxa" w:w="7704"/>
          </w:tcPr>
          <w:p>
            <w:pPr>
              <w:jc w:val="left"/>
            </w:pPr>
            <w:r>
              <w:rPr>
                <w:sz w:val="18"/>
              </w:rPr>
              <w:t>Team analysis</w:t>
            </w:r>
          </w:p>
        </w:tc>
      </w:tr>
      <w:tr>
        <w:tc>
          <w:tcPr>
            <w:tcW w:type="dxa" w:w="1656"/>
            <w:shd w:fill="F8FAFA"/>
          </w:tcPr>
          <w:p>
            <w:pPr>
              <w:jc w:val="center"/>
            </w:pPr>
            <w:r>
              <w:rPr>
                <w:sz w:val="18"/>
              </w:rPr>
              <w:t>42-53</w:t>
            </w:r>
          </w:p>
        </w:tc>
        <w:tc>
          <w:tcPr>
            <w:tcW w:type="dxa" w:w="7704"/>
            <w:shd w:fill="F8FAFA"/>
          </w:tcPr>
          <w:p>
            <w:pPr>
              <w:jc w:val="left"/>
            </w:pPr>
            <w:r>
              <w:rPr>
                <w:sz w:val="18"/>
              </w:rPr>
              <w:t>Evidence conference</w:t>
            </w:r>
          </w:p>
        </w:tc>
      </w:tr>
      <w:tr>
        <w:tc>
          <w:tcPr>
            <w:tcW w:type="dxa" w:w="1656"/>
          </w:tcPr>
          <w:p>
            <w:pPr>
              <w:jc w:val="center"/>
            </w:pPr>
            <w:r>
              <w:rPr>
                <w:sz w:val="18"/>
              </w:rPr>
              <w:t>53-60</w:t>
            </w:r>
          </w:p>
        </w:tc>
        <w:tc>
          <w:tcPr>
            <w:tcW w:type="dxa" w:w="7704"/>
          </w:tcPr>
          <w:p>
            <w:pPr>
              <w:jc w:val="left"/>
            </w:pPr>
            <w:r>
              <w:rPr>
                <w:sz w:val="18"/>
              </w:rPr>
              <w:t>Draft claim and next-data request</w:t>
            </w:r>
          </w:p>
        </w:tc>
      </w:tr>
    </w:tbl>
    <w:p>
      <w:pPr>
        <w:spacing w:after="0"/>
      </w:pPr>
    </w:p>
    <w:p>
      <w:pPr>
        <w:pStyle w:val="Heading2"/>
      </w:pPr>
      <w:r>
        <w:t>Instructor moves</w:t>
      </w:r>
    </w:p>
    <w:p>
      <w:r>
        <w:t>Do not reveal that Zone B is the priority. Use questions: Which values are unlike the reference zones? What alternative explanations remain? Does water explain the pattern?</w:t>
      </w:r>
    </w:p>
    <w:p>
      <w:pPr>
        <w:pStyle w:val="Heading2"/>
      </w:pPr>
      <w:r>
        <w:t>Formative evidence</w:t>
      </w:r>
    </w:p>
    <w:p>
      <w:r>
        <w:t>Submit a claim naming a priority zone, two pieces of evidence, and one uncertainty.</w:t>
      </w:r>
    </w:p>
    <w:p>
      <w:pPr>
        <w:pStyle w:val="Heading2"/>
      </w:pPr>
      <w:r>
        <w:t>Misconception to surface</w:t>
      </w:r>
    </w:p>
    <w:p>
      <w:r>
        <w:t>The lowest NDVI is not automatically the most stressed vegetation; open water can have negative NDVI.</w:t>
      </w:r>
    </w:p>
    <w:p>
      <w:pPr>
        <w:pStyle w:val="Heading2"/>
      </w:pPr>
      <w:r>
        <w:t>Access and extension</w:t>
      </w:r>
    </w:p>
    <w:p>
      <w:r>
        <w:t>Provide precomputed NDVI values while retaining optional calculations. Extension: summarize zone means and propose a stratified field-sampling design.</w:t>
      </w:r>
    </w:p>
    <w:p>
      <w:r>
        <w:br w:type="page"/>
      </w:r>
    </w:p>
    <w:p>
      <w:pPr>
        <w:pStyle w:val="Heading1"/>
      </w:pPr>
      <w:r>
        <w:t>Day 10: Scientific Briefing and Individual Assessment</w:t>
      </w:r>
    </w:p>
    <w:tbl>
      <w:tblPr>
        <w:tblW w:type="dxa" w:w="9360"/>
        <w:tblLook w:firstColumn="1" w:firstRow="1" w:lastColumn="0" w:lastRow="0" w:noHBand="0" w:noVBand="1" w:val="04A0"/>
        <w:tblLayout w:type="fixed"/>
        <w:tblInd w:w="120" w:type="dxa"/>
        <w:tblBorders>
          <w:top w:val="single" w:sz="6" w:color="BFD7D2"/>
          <w:left w:val="single" w:sz="6" w:color="BFD7D2"/>
          <w:bottom w:val="single" w:sz="6" w:color="BFD7D2"/>
          <w:right w:val="single" w:sz="6" w:color="BFD7D2"/>
          <w:insideH w:val="single" w:sz="6" w:color="BFD7D2"/>
          <w:insideV w:val="single" w:sz="6" w:color="BFD7D2"/>
        </w:tblBorders>
      </w:tblPr>
      <w:tblGrid>
        <w:gridCol w:w="9360"/>
      </w:tblGrid>
      <w:tr>
        <w:tc>
          <w:tcPr>
            <w:tcW w:type="dxa" w:w="9360"/>
            <w:tcMar>
              <w:top w:w="100" w:type="dxa"/>
              <w:start w:w="120" w:type="dxa"/>
              <w:bottom w:w="100" w:type="dxa"/>
              <w:end w:w="120" w:type="dxa"/>
            </w:tcMar>
            <w:vAlign w:val="center"/>
            <w:shd w:fill="EAF3F1"/>
          </w:tcPr>
          <w:p>
            <w:r>
              <w:rPr>
                <w:b/>
                <w:color w:val="247B78"/>
              </w:rPr>
              <w:t xml:space="preserve">Essential question  </w:t>
            </w:r>
            <w:r>
              <w:t>How should uncertainty shape an environmental recommendation?</w:t>
            </w:r>
          </w:p>
        </w:tc>
      </w:tr>
    </w:tbl>
    <w:p>
      <w:pPr>
        <w:spacing w:after="0"/>
      </w:pPr>
    </w:p>
    <w:p>
      <w:pPr>
        <w:pStyle w:val="Heading2"/>
      </w:pPr>
      <w:r>
        <w:t>Measurable objectives</w:t>
      </w:r>
    </w:p>
    <w:p>
      <w:pPr>
        <w:pStyle w:val="ListBullet"/>
      </w:pPr>
      <w:r>
        <w:t>Communicate an evidence-based environmental assessment.</w:t>
      </w:r>
    </w:p>
    <w:p>
      <w:pPr>
        <w:pStyle w:val="ListBullet"/>
      </w:pPr>
      <w:r>
        <w:t>Evaluate recommendations using criteria and limitations.</w:t>
      </w:r>
    </w:p>
    <w:p>
      <w:pPr>
        <w:pStyle w:val="ListBullet"/>
      </w:pPr>
      <w:r>
        <w:t>Demonstrate individual understanding of sensors, resolution, NDVI, photogrammetry, and responsible use.</w:t>
      </w:r>
    </w:p>
    <w:p>
      <w:pPr>
        <w:pStyle w:val="Heading2"/>
      </w:pPr>
      <w:r>
        <w:t>Preparation and materials</w:t>
      </w:r>
    </w:p>
    <w:p>
      <w:r>
        <w:t>Briefing template; rubric; peer-feedback form; individual assessment.</w:t>
      </w:r>
    </w:p>
    <w:p>
      <w:pPr>
        <w:pStyle w:val="Heading2"/>
      </w:pPr>
      <w:r>
        <w:t>Suggested 60-minute sequence</w:t>
      </w:r>
    </w:p>
    <w:tbl>
      <w:tblPr>
        <w:tblW w:type="dxa" w:w="9360"/>
        <w:jc w:val="center"/>
        <w:tblLayout w:type="fixed"/>
        <w:tblLook w:firstColumn="1" w:firstRow="1" w:lastColumn="0" w:lastRow="0" w:noHBand="0" w:noVBand="1" w:val="04A0"/>
        <w:tblInd w:w="120" w:type="dxa"/>
        <w:tblBorders>
          <w:top w:val="single" w:sz="6" w:color="CBD5D9"/>
          <w:left w:val="single" w:sz="6" w:color="CBD5D9"/>
          <w:bottom w:val="single" w:sz="6" w:color="CBD5D9"/>
          <w:right w:val="single" w:sz="6" w:color="CBD5D9"/>
          <w:insideH w:val="single" w:sz="6" w:color="CBD5D9"/>
          <w:insideV w:val="single" w:sz="6" w:color="CBD5D9"/>
        </w:tblBorders>
      </w:tblPr>
      <w:tblGrid>
        <w:gridCol w:w="1656"/>
        <w:gridCol w:w="7704"/>
      </w:tblGrid>
      <w:tr>
        <w:trPr>
          <w:tblHeader w:val="true"/>
        </w:trPr>
        <w:tc>
          <w:tcPr>
            <w:tcW w:type="dxa" w:w="1656"/>
            <w:tcMar>
              <w:top w:w="100" w:type="dxa"/>
              <w:start w:w="120" w:type="dxa"/>
              <w:bottom w:w="100" w:type="dxa"/>
              <w:end w:w="120" w:type="dxa"/>
            </w:tcMar>
            <w:vAlign w:val="center"/>
            <w:shd w:fill="17324D"/>
          </w:tcPr>
          <w:p>
            <w:pPr>
              <w:jc w:val="center"/>
            </w:pPr>
            <w:r>
              <w:rPr>
                <w:b/>
                <w:color w:val="FFFFFF"/>
                <w:sz w:val="18"/>
              </w:rPr>
              <w:t>Minutes</w:t>
            </w:r>
          </w:p>
        </w:tc>
        <w:tc>
          <w:tcPr>
            <w:tcW w:type="dxa" w:w="7704"/>
            <w:tcMar>
              <w:top w:w="100" w:type="dxa"/>
              <w:start w:w="120" w:type="dxa"/>
              <w:bottom w:w="100" w:type="dxa"/>
              <w:end w:w="120" w:type="dxa"/>
            </w:tcMar>
            <w:vAlign w:val="center"/>
            <w:shd w:fill="17324D"/>
          </w:tcPr>
          <w:p>
            <w:pPr>
              <w:jc w:val="center"/>
            </w:pPr>
            <w:r>
              <w:rPr>
                <w:b/>
                <w:color w:val="FFFFFF"/>
                <w:sz w:val="18"/>
              </w:rPr>
              <w:t>Learning experience</w:t>
            </w:r>
          </w:p>
        </w:tc>
      </w:tr>
      <w:tr>
        <w:tc>
          <w:tcPr>
            <w:tcW w:type="dxa" w:w="1656"/>
          </w:tcPr>
          <w:p>
            <w:pPr>
              <w:jc w:val="center"/>
            </w:pPr>
            <w:r>
              <w:rPr>
                <w:sz w:val="18"/>
              </w:rPr>
              <w:t>0-8</w:t>
            </w:r>
          </w:p>
        </w:tc>
        <w:tc>
          <w:tcPr>
            <w:tcW w:type="dxa" w:w="7704"/>
          </w:tcPr>
          <w:p>
            <w:pPr>
              <w:jc w:val="left"/>
            </w:pPr>
            <w:r>
              <w:rPr>
                <w:sz w:val="18"/>
              </w:rPr>
              <w:t>Briefing preparation</w:t>
            </w:r>
          </w:p>
        </w:tc>
      </w:tr>
      <w:tr>
        <w:tc>
          <w:tcPr>
            <w:tcW w:type="dxa" w:w="1656"/>
            <w:shd w:fill="F8FAFA"/>
          </w:tcPr>
          <w:p>
            <w:pPr>
              <w:jc w:val="center"/>
            </w:pPr>
            <w:r>
              <w:rPr>
                <w:sz w:val="18"/>
              </w:rPr>
              <w:t>8-32</w:t>
            </w:r>
          </w:p>
        </w:tc>
        <w:tc>
          <w:tcPr>
            <w:tcW w:type="dxa" w:w="7704"/>
            <w:shd w:fill="F8FAFA"/>
          </w:tcPr>
          <w:p>
            <w:pPr>
              <w:jc w:val="left"/>
            </w:pPr>
            <w:r>
              <w:rPr>
                <w:sz w:val="18"/>
              </w:rPr>
              <w:t>Team briefings or gallery walk</w:t>
            </w:r>
          </w:p>
        </w:tc>
      </w:tr>
      <w:tr>
        <w:tc>
          <w:tcPr>
            <w:tcW w:type="dxa" w:w="1656"/>
          </w:tcPr>
          <w:p>
            <w:pPr>
              <w:jc w:val="center"/>
            </w:pPr>
            <w:r>
              <w:rPr>
                <w:sz w:val="18"/>
              </w:rPr>
              <w:t>32-42</w:t>
            </w:r>
          </w:p>
        </w:tc>
        <w:tc>
          <w:tcPr>
            <w:tcW w:type="dxa" w:w="7704"/>
          </w:tcPr>
          <w:p>
            <w:pPr>
              <w:jc w:val="left"/>
            </w:pPr>
            <w:r>
              <w:rPr>
                <w:sz w:val="18"/>
              </w:rPr>
              <w:t>Peer questions and revision note</w:t>
            </w:r>
          </w:p>
        </w:tc>
      </w:tr>
      <w:tr>
        <w:tc>
          <w:tcPr>
            <w:tcW w:type="dxa" w:w="1656"/>
            <w:shd w:fill="F8FAFA"/>
          </w:tcPr>
          <w:p>
            <w:pPr>
              <w:jc w:val="center"/>
            </w:pPr>
            <w:r>
              <w:rPr>
                <w:sz w:val="18"/>
              </w:rPr>
              <w:t>42-58</w:t>
            </w:r>
          </w:p>
        </w:tc>
        <w:tc>
          <w:tcPr>
            <w:tcW w:type="dxa" w:w="7704"/>
            <w:shd w:fill="F8FAFA"/>
          </w:tcPr>
          <w:p>
            <w:pPr>
              <w:jc w:val="left"/>
            </w:pPr>
            <w:r>
              <w:rPr>
                <w:sz w:val="18"/>
              </w:rPr>
              <w:t>Individual assessment</w:t>
            </w:r>
          </w:p>
        </w:tc>
      </w:tr>
      <w:tr>
        <w:tc>
          <w:tcPr>
            <w:tcW w:type="dxa" w:w="1656"/>
          </w:tcPr>
          <w:p>
            <w:pPr>
              <w:jc w:val="center"/>
            </w:pPr>
            <w:r>
              <w:rPr>
                <w:sz w:val="18"/>
              </w:rPr>
              <w:t>58-60</w:t>
            </w:r>
          </w:p>
        </w:tc>
        <w:tc>
          <w:tcPr>
            <w:tcW w:type="dxa" w:w="7704"/>
          </w:tcPr>
          <w:p>
            <w:pPr>
              <w:jc w:val="center"/>
            </w:pPr>
            <w:r>
              <w:rPr>
                <w:sz w:val="18"/>
              </w:rPr>
              <w:t>Reflection</w:t>
            </w:r>
          </w:p>
        </w:tc>
      </w:tr>
    </w:tbl>
    <w:p>
      <w:pPr>
        <w:spacing w:after="0"/>
      </w:pPr>
    </w:p>
    <w:p>
      <w:pPr>
        <w:pStyle w:val="Heading2"/>
      </w:pPr>
      <w:r>
        <w:t>Instructor moves</w:t>
      </w:r>
    </w:p>
    <w:p>
      <w:r>
        <w:t>Score the capstone product separately from individual mastery. Reward calibrated claims and explicit uncertainty, not confidence alone.</w:t>
      </w:r>
    </w:p>
    <w:p>
      <w:pPr>
        <w:pStyle w:val="Heading2"/>
      </w:pPr>
      <w:r>
        <w:t>Formative evidence</w:t>
      </w:r>
    </w:p>
    <w:p>
      <w:r>
        <w:t>Peer feedback: one evidence strength, one question, and one recommendation for revision.</w:t>
      </w:r>
    </w:p>
    <w:p>
      <w:pPr>
        <w:pStyle w:val="Heading2"/>
      </w:pPr>
      <w:r>
        <w:t>Misconception to surface</w:t>
      </w:r>
    </w:p>
    <w:p>
      <w:r>
        <w:t>A recommendation can be useful without claiming certainty; good decisions state evidence, risk, and next steps.</w:t>
      </w:r>
    </w:p>
    <w:p>
      <w:pPr>
        <w:pStyle w:val="Heading2"/>
      </w:pPr>
      <w:r>
        <w:t>Access and extension</w:t>
      </w:r>
    </w:p>
    <w:p>
      <w:r>
        <w:t>Offer report, narrated slides, or oral briefing with the same criteria. Provide extended time for the individual assessment when documented.</w:t>
      </w:r>
    </w:p>
    <w:p>
      <w:r>
        <w:br w:type="page"/>
      </w:r>
    </w:p>
    <w:p>
      <w:pPr>
        <w:pStyle w:val="Heading1"/>
      </w:pPr>
      <w:r>
        <w:t>Capstone facilitation guide</w:t>
      </w:r>
    </w:p>
    <w:p>
      <w:r>
        <w:t>Client scenario: Marshview Wetland Preserve staff observed patches of discoloration in emergent vegetation. Students must determine which zone warrants priority ground investigation, explain what the evidence does and does not show, and recommend a responsible next step.</w:t>
      </w:r>
    </w:p>
    <w:p>
      <w:r>
        <w:drawing>
          <wp:inline xmlns:a="http://schemas.openxmlformats.org/drawingml/2006/main" xmlns:pic="http://schemas.openxmlformats.org/drawingml/2006/picture">
            <wp:extent cx="5212080" cy="5472684"/>
            <wp:docPr id="2" name="Picture 2" descr="Simulated wetland Natural-color orthomosaic divided into Zones A through D; open water is in Zone C and patchier brown-green vegetation appears in Zone B." title="simulated wetland rgb map"/>
            <wp:cNvGraphicFramePr>
              <a:graphicFrameLocks noChangeAspect="1"/>
            </wp:cNvGraphicFramePr>
            <a:graphic>
              <a:graphicData uri="http://schemas.openxmlformats.org/drawingml/2006/picture">
                <pic:pic>
                  <pic:nvPicPr>
                    <pic:cNvPr id="0" name="simulated_wetland_rgb_map.png"/>
                    <pic:cNvPicPr/>
                  </pic:nvPicPr>
                  <pic:blipFill>
                    <a:blip r:embed="rId12"/>
                    <a:stretch>
                      <a:fillRect/>
                    </a:stretch>
                  </pic:blipFill>
                  <pic:spPr>
                    <a:xfrm>
                      <a:off x="0" y="0"/>
                      <a:ext cx="5212080" cy="5472684"/>
                    </a:xfrm>
                    <a:prstGeom prst="rect"/>
                  </pic:spPr>
                </pic:pic>
              </a:graphicData>
            </a:graphic>
          </wp:inline>
        </w:drawing>
      </w:r>
    </w:p>
    <w:p>
      <w:r>
        <w:drawing>
          <wp:inline xmlns:a="http://schemas.openxmlformats.org/drawingml/2006/main" xmlns:pic="http://schemas.openxmlformats.org/drawingml/2006/picture">
            <wp:extent cx="5212080" cy="5472684"/>
            <wp:docPr id="3" name="Picture 3" descr="Simulated wetland NDVI map with strong positive values in Zones A and D, moderately lower values in Zone B, and lowest values over open water in Zone C." title="simulated wetland ndvi map"/>
            <wp:cNvGraphicFramePr>
              <a:graphicFrameLocks noChangeAspect="1"/>
            </wp:cNvGraphicFramePr>
            <a:graphic>
              <a:graphicData uri="http://schemas.openxmlformats.org/drawingml/2006/picture">
                <pic:pic>
                  <pic:nvPicPr>
                    <pic:cNvPr id="0" name="simulated_wetland_ndvi_map.png"/>
                    <pic:cNvPicPr/>
                  </pic:nvPicPr>
                  <pic:blipFill>
                    <a:blip r:embed="rId13"/>
                    <a:stretch>
                      <a:fillRect/>
                    </a:stretch>
                  </pic:blipFill>
                  <pic:spPr>
                    <a:xfrm>
                      <a:off x="0" y="0"/>
                      <a:ext cx="5212080" cy="5472684"/>
                    </a:xfrm>
                    <a:prstGeom prst="rect"/>
                  </pic:spPr>
                </pic:pic>
              </a:graphicData>
            </a:graphic>
          </wp:inline>
        </w:drawing>
      </w:r>
    </w:p>
    <w:tbl>
      <w:tblPr>
        <w:tblW w:type="dxa" w:w="9360"/>
        <w:tblLook w:firstColumn="1" w:firstRow="1" w:lastColumn="0" w:lastRow="0" w:noHBand="0" w:noVBand="1" w:val="04A0"/>
        <w:tblLayout w:type="fixed"/>
        <w:tblInd w:w="120" w:type="dxa"/>
        <w:tblBorders>
          <w:top w:val="single" w:sz="6" w:color="BFD7D2"/>
          <w:left w:val="single" w:sz="6" w:color="BFD7D2"/>
          <w:bottom w:val="single" w:sz="6" w:color="BFD7D2"/>
          <w:right w:val="single" w:sz="6" w:color="BFD7D2"/>
          <w:insideH w:val="single" w:sz="6" w:color="BFD7D2"/>
          <w:insideV w:val="single" w:sz="6" w:color="BFD7D2"/>
        </w:tblBorders>
      </w:tblPr>
      <w:tblGrid>
        <w:gridCol w:w="9360"/>
      </w:tblGrid>
      <w:tr>
        <w:tc>
          <w:tcPr>
            <w:tcW w:type="dxa" w:w="9360"/>
            <w:tcMar>
              <w:top w:w="100" w:type="dxa"/>
              <w:start w:w="120" w:type="dxa"/>
              <w:bottom w:w="100" w:type="dxa"/>
              <w:end w:w="120" w:type="dxa"/>
            </w:tcMar>
            <w:vAlign w:val="center"/>
            <w:shd w:fill="FBF5E8"/>
          </w:tcPr>
          <w:p>
            <w:r>
              <w:rPr>
                <w:b/>
                <w:color w:val="247B78"/>
              </w:rPr>
              <w:t xml:space="preserve">Instructor interpretation  </w:t>
            </w:r>
            <w:r>
              <w:t>Zone B is the defensible priority for vegetation-stress follow-up: its samples have lower positive NDVI (0.19-0.34) and field notes describe patchiness, discoloration, and exposed soil. Zone C has the lowest NDVI but is open water, so it is not evidence of stressed emergent vegetation. The dataset supports prioritization, not a causal diagnosis.</w:t>
            </w:r>
          </w:p>
        </w:tc>
      </w:tr>
    </w:tbl>
    <w:p>
      <w:pPr>
        <w:spacing w:after="0"/>
      </w:pPr>
    </w:p>
    <w:p>
      <w:pPr>
        <w:pStyle w:val="Heading2"/>
      </w:pPr>
      <w:r>
        <w:t>Suggested discussion prompts</w:t>
      </w:r>
    </w:p>
    <w:p>
      <w:pPr>
        <w:pStyle w:val="ListBullet"/>
      </w:pPr>
      <w:r>
        <w:t>What direct measurements appear in the packet?</w:t>
      </w:r>
    </w:p>
    <w:p>
      <w:pPr>
        <w:pStyle w:val="ListBullet"/>
      </w:pPr>
      <w:r>
        <w:t>Which conclusions are inferences?</w:t>
      </w:r>
    </w:p>
    <w:p>
      <w:pPr>
        <w:pStyle w:val="ListBullet"/>
      </w:pPr>
      <w:r>
        <w:t>What alternative explanations fit Zone B?</w:t>
      </w:r>
    </w:p>
    <w:p>
      <w:pPr>
        <w:pStyle w:val="ListBullet"/>
      </w:pPr>
      <w:r>
        <w:t>What additional measurements would discriminate among causes?</w:t>
      </w:r>
    </w:p>
    <w:p>
      <w:pPr>
        <w:pStyle w:val="ListBullet"/>
      </w:pPr>
      <w:r>
        <w:t>What management action is proportional to the evidence?</w:t>
      </w:r>
    </w:p>
    <w:p>
      <w:pPr>
        <w:pStyle w:val="Heading1"/>
      </w:pPr>
      <w:r>
        <w:t>Differentiation and accommodations across the unit</w:t>
      </w:r>
    </w:p>
    <w:tbl>
      <w:tblPr>
        <w:tblW w:type="dxa" w:w="9360"/>
        <w:jc w:val="center"/>
        <w:tblLayout w:type="fixed"/>
        <w:tblLook w:firstColumn="1" w:firstRow="1" w:lastColumn="0" w:lastRow="0" w:noHBand="0" w:noVBand="1" w:val="04A0"/>
        <w:tblInd w:w="120" w:type="dxa"/>
        <w:tblBorders>
          <w:top w:val="single" w:sz="6" w:color="CBD5D9"/>
          <w:left w:val="single" w:sz="6" w:color="CBD5D9"/>
          <w:bottom w:val="single" w:sz="6" w:color="CBD5D9"/>
          <w:right w:val="single" w:sz="6" w:color="CBD5D9"/>
          <w:insideH w:val="single" w:sz="6" w:color="CBD5D9"/>
          <w:insideV w:val="single" w:sz="6" w:color="CBD5D9"/>
        </w:tblBorders>
      </w:tblPr>
      <w:tblGrid>
        <w:gridCol w:w="2088"/>
        <w:gridCol w:w="4680"/>
        <w:gridCol w:w="2592"/>
      </w:tblGrid>
      <w:tr>
        <w:trPr>
          <w:tblHeader w:val="true"/>
        </w:trPr>
        <w:tc>
          <w:tcPr>
            <w:tcW w:type="dxa" w:w="2088"/>
            <w:tcMar>
              <w:top w:w="100" w:type="dxa"/>
              <w:start w:w="120" w:type="dxa"/>
              <w:bottom w:w="100" w:type="dxa"/>
              <w:end w:w="120" w:type="dxa"/>
            </w:tcMar>
            <w:vAlign w:val="center"/>
            <w:shd w:fill="17324D"/>
          </w:tcPr>
          <w:p>
            <w:pPr>
              <w:jc w:val="center"/>
            </w:pPr>
            <w:r>
              <w:rPr>
                <w:b/>
                <w:color w:val="FFFFFF"/>
                <w:sz w:val="17"/>
              </w:rPr>
              <w:t>Learner need</w:t>
            </w:r>
          </w:p>
        </w:tc>
        <w:tc>
          <w:tcPr>
            <w:tcW w:type="dxa" w:w="4680"/>
            <w:tcMar>
              <w:top w:w="100" w:type="dxa"/>
              <w:start w:w="120" w:type="dxa"/>
              <w:bottom w:w="100" w:type="dxa"/>
              <w:end w:w="120" w:type="dxa"/>
            </w:tcMar>
            <w:vAlign w:val="center"/>
            <w:shd w:fill="17324D"/>
          </w:tcPr>
          <w:p>
            <w:pPr>
              <w:jc w:val="center"/>
            </w:pPr>
            <w:r>
              <w:rPr>
                <w:b/>
                <w:color w:val="FFFFFF"/>
                <w:sz w:val="17"/>
              </w:rPr>
              <w:t>Designed support</w:t>
            </w:r>
          </w:p>
        </w:tc>
        <w:tc>
          <w:tcPr>
            <w:tcW w:type="dxa" w:w="2592"/>
            <w:tcMar>
              <w:top w:w="100" w:type="dxa"/>
              <w:start w:w="120" w:type="dxa"/>
              <w:bottom w:w="100" w:type="dxa"/>
              <w:end w:w="120" w:type="dxa"/>
            </w:tcMar>
            <w:vAlign w:val="center"/>
            <w:shd w:fill="17324D"/>
          </w:tcPr>
          <w:p>
            <w:pPr>
              <w:jc w:val="center"/>
            </w:pPr>
            <w:r>
              <w:rPr>
                <w:b/>
                <w:color w:val="FFFFFF"/>
                <w:sz w:val="17"/>
              </w:rPr>
              <w:t>Preserved learning target</w:t>
            </w:r>
          </w:p>
        </w:tc>
      </w:tr>
      <w:tr>
        <w:tc>
          <w:tcPr>
            <w:tcW w:type="dxa" w:w="2088"/>
          </w:tcPr>
          <w:p>
            <w:pPr>
              <w:jc w:val="left"/>
            </w:pPr>
            <w:r>
              <w:rPr>
                <w:sz w:val="17"/>
              </w:rPr>
              <w:t>Language development</w:t>
            </w:r>
          </w:p>
        </w:tc>
        <w:tc>
          <w:tcPr>
            <w:tcW w:type="dxa" w:w="4680"/>
          </w:tcPr>
          <w:p>
            <w:pPr>
              <w:jc w:val="left"/>
            </w:pPr>
            <w:r>
              <w:rPr>
                <w:sz w:val="17"/>
              </w:rPr>
              <w:t>Visual glossary, sentence frames, partner rehearsal, annotated models</w:t>
            </w:r>
          </w:p>
        </w:tc>
        <w:tc>
          <w:tcPr>
            <w:tcW w:type="dxa" w:w="2592"/>
          </w:tcPr>
          <w:p>
            <w:pPr>
              <w:jc w:val="left"/>
            </w:pPr>
            <w:r>
              <w:rPr>
                <w:sz w:val="17"/>
              </w:rPr>
              <w:t>Scientific evidence and reasoning</w:t>
            </w:r>
          </w:p>
        </w:tc>
      </w:tr>
      <w:tr>
        <w:tc>
          <w:tcPr>
            <w:tcW w:type="dxa" w:w="2088"/>
            <w:shd w:fill="F8FAFA"/>
          </w:tcPr>
          <w:p>
            <w:pPr>
              <w:jc w:val="left"/>
            </w:pPr>
            <w:r>
              <w:rPr>
                <w:sz w:val="17"/>
              </w:rPr>
              <w:t>Mathematical support</w:t>
            </w:r>
          </w:p>
        </w:tc>
        <w:tc>
          <w:tcPr>
            <w:tcW w:type="dxa" w:w="4680"/>
            <w:shd w:fill="F8FAFA"/>
          </w:tcPr>
          <w:p>
            <w:pPr>
              <w:jc w:val="left"/>
            </w:pPr>
            <w:r>
              <w:rPr>
                <w:sz w:val="17"/>
              </w:rPr>
              <w:t>Color-coded NDVI template, worked example, calculator, precomputed values</w:t>
            </w:r>
          </w:p>
        </w:tc>
        <w:tc>
          <w:tcPr>
            <w:tcW w:type="dxa" w:w="2592"/>
            <w:shd w:fill="F8FAFA"/>
          </w:tcPr>
          <w:p>
            <w:pPr>
              <w:jc w:val="left"/>
            </w:pPr>
            <w:r>
              <w:rPr>
                <w:sz w:val="17"/>
              </w:rPr>
              <w:t>Interpretation and error checking</w:t>
            </w:r>
          </w:p>
        </w:tc>
      </w:tr>
      <w:tr>
        <w:tc>
          <w:tcPr>
            <w:tcW w:type="dxa" w:w="2088"/>
          </w:tcPr>
          <w:p>
            <w:pPr>
              <w:jc w:val="left"/>
            </w:pPr>
            <w:r>
              <w:rPr>
                <w:sz w:val="17"/>
              </w:rPr>
              <w:t>Visual access</w:t>
            </w:r>
          </w:p>
        </w:tc>
        <w:tc>
          <w:tcPr>
            <w:tcW w:type="dxa" w:w="4680"/>
          </w:tcPr>
          <w:p>
            <w:pPr>
              <w:jc w:val="left"/>
            </w:pPr>
            <w:r>
              <w:rPr>
                <w:sz w:val="17"/>
              </w:rPr>
              <w:t>High-contrast maps, pattern/label redundancy, text descriptions, tabular equivalent</w:t>
            </w:r>
          </w:p>
        </w:tc>
        <w:tc>
          <w:tcPr>
            <w:tcW w:type="dxa" w:w="2592"/>
          </w:tcPr>
          <w:p>
            <w:pPr>
              <w:jc w:val="left"/>
            </w:pPr>
            <w:r>
              <w:rPr>
                <w:sz w:val="17"/>
              </w:rPr>
              <w:t>Spatial-pattern reasoning</w:t>
            </w:r>
          </w:p>
        </w:tc>
      </w:tr>
      <w:tr>
        <w:tc>
          <w:tcPr>
            <w:tcW w:type="dxa" w:w="2088"/>
            <w:shd w:fill="F8FAFA"/>
          </w:tcPr>
          <w:p>
            <w:pPr>
              <w:jc w:val="center"/>
            </w:pPr>
            <w:r>
              <w:rPr>
                <w:sz w:val="17"/>
              </w:rPr>
              <w:t>Motor access</w:t>
            </w:r>
          </w:p>
        </w:tc>
        <w:tc>
          <w:tcPr>
            <w:tcW w:type="dxa" w:w="4680"/>
            <w:shd w:fill="F8FAFA"/>
          </w:tcPr>
          <w:p>
            <w:pPr>
              <w:jc w:val="left"/>
            </w:pPr>
            <w:r>
              <w:rPr>
                <w:sz w:val="17"/>
              </w:rPr>
              <w:t>No flight required; keyboard-accessible digital or oral response options</w:t>
            </w:r>
          </w:p>
        </w:tc>
        <w:tc>
          <w:tcPr>
            <w:tcW w:type="dxa" w:w="2592"/>
            <w:shd w:fill="F8FAFA"/>
          </w:tcPr>
          <w:p>
            <w:pPr>
              <w:jc w:val="left"/>
            </w:pPr>
            <w:r>
              <w:rPr>
                <w:sz w:val="17"/>
              </w:rPr>
              <w:t>Measurement and decision concepts</w:t>
            </w:r>
          </w:p>
        </w:tc>
      </w:tr>
      <w:tr>
        <w:tc>
          <w:tcPr>
            <w:tcW w:type="dxa" w:w="2088"/>
          </w:tcPr>
          <w:p>
            <w:pPr>
              <w:jc w:val="left"/>
            </w:pPr>
            <w:r>
              <w:rPr>
                <w:sz w:val="17"/>
              </w:rPr>
              <w:t>Attention/executive function</w:t>
            </w:r>
          </w:p>
        </w:tc>
        <w:tc>
          <w:tcPr>
            <w:tcW w:type="dxa" w:w="4680"/>
          </w:tcPr>
          <w:p>
            <w:pPr>
              <w:jc w:val="left"/>
            </w:pPr>
            <w:r>
              <w:rPr>
                <w:sz w:val="17"/>
              </w:rPr>
              <w:t>Chunked directions, visible agenda, group roles, checkpoints</w:t>
            </w:r>
          </w:p>
        </w:tc>
        <w:tc>
          <w:tcPr>
            <w:tcW w:type="dxa" w:w="2592"/>
          </w:tcPr>
          <w:p>
            <w:pPr>
              <w:jc w:val="left"/>
            </w:pPr>
            <w:r>
              <w:rPr>
                <w:sz w:val="17"/>
              </w:rPr>
              <w:t>Complete investigation workflow</w:t>
            </w:r>
          </w:p>
        </w:tc>
      </w:tr>
      <w:tr>
        <w:tc>
          <w:tcPr>
            <w:tcW w:type="dxa" w:w="2088"/>
            <w:shd w:fill="F8FAFA"/>
          </w:tcPr>
          <w:p>
            <w:pPr>
              <w:jc w:val="left"/>
            </w:pPr>
            <w:r>
              <w:rPr>
                <w:sz w:val="17"/>
              </w:rPr>
              <w:t>Advanced readiness</w:t>
            </w:r>
          </w:p>
        </w:tc>
        <w:tc>
          <w:tcPr>
            <w:tcW w:type="dxa" w:w="4680"/>
            <w:shd w:fill="F8FAFA"/>
          </w:tcPr>
          <w:p>
            <w:pPr>
              <w:jc w:val="left"/>
            </w:pPr>
            <w:r>
              <w:rPr>
                <w:sz w:val="17"/>
              </w:rPr>
              <w:t>Zone summaries, sampling design, uncertainty quantification, multi-date analysis</w:t>
            </w:r>
          </w:p>
        </w:tc>
        <w:tc>
          <w:tcPr>
            <w:tcW w:type="dxa" w:w="2592"/>
            <w:shd w:fill="F8FAFA"/>
          </w:tcPr>
          <w:p>
            <w:pPr>
              <w:jc w:val="left"/>
            </w:pPr>
            <w:r>
              <w:rPr>
                <w:sz w:val="17"/>
              </w:rPr>
              <w:t>Deeper analysis without extra busywork</w:t>
            </w:r>
          </w:p>
        </w:tc>
      </w:tr>
    </w:tbl>
    <w:p>
      <w:pPr>
        <w:spacing w:after="0"/>
      </w:pPr>
    </w:p>
    <w:p>
      <w:pPr>
        <w:pStyle w:val="Heading1"/>
      </w:pPr>
      <w:r>
        <w:t>Safety and implementation boundary</w:t>
      </w:r>
    </w:p>
    <w:tbl>
      <w:tblPr>
        <w:tblW w:type="dxa" w:w="9360"/>
        <w:tblLook w:firstColumn="1" w:firstRow="1" w:lastColumn="0" w:lastRow="0" w:noHBand="0" w:noVBand="1" w:val="04A0"/>
        <w:tblLayout w:type="fixed"/>
        <w:tblInd w:w="120" w:type="dxa"/>
        <w:tblBorders>
          <w:top w:val="single" w:sz="6" w:color="BFD7D2"/>
          <w:left w:val="single" w:sz="6" w:color="BFD7D2"/>
          <w:bottom w:val="single" w:sz="6" w:color="BFD7D2"/>
          <w:right w:val="single" w:sz="6" w:color="BFD7D2"/>
          <w:insideH w:val="single" w:sz="6" w:color="BFD7D2"/>
          <w:insideV w:val="single" w:sz="6" w:color="BFD7D2"/>
        </w:tblBorders>
      </w:tblPr>
      <w:tblGrid>
        <w:gridCol w:w="9360"/>
      </w:tblGrid>
      <w:tr>
        <w:tc>
          <w:tcPr>
            <w:tcW w:type="dxa" w:w="9360"/>
            <w:tcMar>
              <w:top w:w="100" w:type="dxa"/>
              <w:start w:w="120" w:type="dxa"/>
              <w:bottom w:w="100" w:type="dxa"/>
              <w:end w:w="120" w:type="dxa"/>
            </w:tcMar>
            <w:vAlign w:val="center"/>
            <w:shd w:fill="FBF5E8"/>
          </w:tcPr>
          <w:p>
            <w:r>
              <w:rPr>
                <w:b/>
                <w:color w:val="247B78"/>
              </w:rPr>
              <w:t xml:space="preserve">Important  </w:t>
            </w:r>
            <w:r>
              <w:t>This curriculum is not flight training and does not authorize drone operation. Any optional real-world flight must be planned and supervised by appropriately qualified personnel under current FAA rules, airspace requirements, site permissions, institutional policy, privacy law, and wildlife guidance.</w:t>
            </w:r>
          </w:p>
        </w:tc>
      </w:tr>
    </w:tbl>
    <w:p>
      <w:pPr>
        <w:spacing w:after="0"/>
      </w:pPr>
    </w:p>
    <w:p>
      <w:pPr>
        <w:pStyle w:val="Heading1"/>
      </w:pPr>
      <w:r>
        <w:t>Sources and currency note</w:t>
      </w:r>
    </w:p>
    <w:p>
      <w:r>
        <w:t>Standards and flight rules can change. The references below were checked on September 1, 2026. Instructors should recheck FAA and local requirements before any real-world flight. This unit does not require students to operate a drone.</w:t>
      </w:r>
    </w:p>
    <w:p>
      <w:pPr>
        <w:pStyle w:val="ListBullet"/>
      </w:pPr>
      <w:hyperlink r:id="rId14">
        <w:r>
          <w:rPr>
            <w:color w:val="247B78"/>
            <w:u w:val="single"/>
          </w:rPr>
          <w:t>College Board, AP Environmental Science</w:t>
        </w:r>
      </w:hyperlink>
    </w:p>
    <w:p>
      <w:pPr>
        <w:pStyle w:val="ListBullet"/>
      </w:pPr>
      <w:hyperlink r:id="rId15">
        <w:r>
          <w:rPr>
            <w:color w:val="247B78"/>
            <w:u w:val="single"/>
          </w:rPr>
          <w:t>Next Generation Science Standards, HS-ESS3-4</w:t>
        </w:r>
      </w:hyperlink>
    </w:p>
    <w:p>
      <w:pPr>
        <w:pStyle w:val="ListBullet"/>
      </w:pPr>
      <w:hyperlink r:id="rId16">
        <w:r>
          <w:rPr>
            <w:color w:val="247B78"/>
            <w:u w:val="single"/>
          </w:rPr>
          <w:t>Next Generation Science Standards, HS-ESS3-6</w:t>
        </w:r>
      </w:hyperlink>
    </w:p>
    <w:p>
      <w:pPr>
        <w:pStyle w:val="ListBullet"/>
      </w:pPr>
      <w:hyperlink r:id="rId17">
        <w:r>
          <w:rPr>
            <w:color w:val="247B78"/>
            <w:u w:val="single"/>
          </w:rPr>
          <w:t>Next Generation Science Standards, HS-LS2-7</w:t>
        </w:r>
      </w:hyperlink>
    </w:p>
    <w:p>
      <w:pPr>
        <w:pStyle w:val="ListBullet"/>
      </w:pPr>
      <w:hyperlink r:id="rId18">
        <w:r>
          <w:rPr>
            <w:color w:val="247B78"/>
            <w:u w:val="single"/>
          </w:rPr>
          <w:t>FAA, Recreational Flyers and Small UAS overview</w:t>
        </w:r>
      </w:hyperlink>
    </w:p>
    <w:p>
      <w:pPr>
        <w:pStyle w:val="ListBullet"/>
      </w:pPr>
      <w:hyperlink r:id="rId19">
        <w:r>
          <w:rPr>
            <w:color w:val="247B78"/>
            <w:u w:val="single"/>
          </w:rPr>
          <w:t>USGS, Landsat Data Access</w:t>
        </w:r>
      </w:hyperlink>
    </w:p>
    <w:p>
      <w:pPr>
        <w:pStyle w:val="ListBullet"/>
      </w:pPr>
      <w:hyperlink r:id="rId20">
        <w:r>
          <w:rPr>
            <w:color w:val="247B78"/>
            <w:u w:val="single"/>
          </w:rPr>
          <w:t>OpenAerialMap</w:t>
        </w:r>
      </w:hyperlink>
    </w:p>
    <w:sectPr w:rsidR="00FC693F" w:rsidRPr="0006063C" w:rsidSect="00034616">
      <w:headerReference w:type="default" r:id="rId9"/>
      <w:footerReference w:type="default" r:id="rId10"/>
      <w:pgSz w:w="12240" w:h="15840"/>
      <w:pgMar w:top="1224" w:right="1224" w:bottom="1080" w:left="1224" w:header="504" w:footer="50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color w:val="56616B"/>
        <w:sz w:val="16"/>
      </w:rPr>
      <w:t xml:space="preserve">Introduction to Drone Remote Sensing for Environmental Science  |  </w:t>
    </w:r>
    <w:r>
      <w:rPr>
        <w:color w:val="56616B"/>
        <w:sz w:val="16"/>
      </w:rPr>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after="40"/>
      <w:jc w:val="left"/>
      <w:pBdr>
        <w:bottom w:val="single" w:sz="8" w:color="BFD7D2"/>
      </w:pBdr>
    </w:pPr>
    <w:r>
      <w:rPr>
        <w:rFonts w:ascii="Aptos" w:hAnsi="Aptos"/>
        <w:b/>
        <w:color w:val="247B78"/>
        <w:sz w:val="17"/>
      </w:rPr>
      <w:t>INSTRUCTOR GUIDE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69" w:lineRule="auto"/>
    </w:pPr>
    <w:rPr>
      <w:rFonts w:ascii="Aptos" w:hAnsi="Aptos"/>
      <w:color w:val="1F2529"/>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20" w:after="140"/>
      <w:outlineLvl w:val="0"/>
    </w:pPr>
    <w:rPr>
      <w:rFonts w:asciiTheme="majorHAnsi" w:eastAsiaTheme="majorEastAsia" w:hAnsiTheme="majorHAnsi" w:cstheme="majorBidi" w:ascii="Aptos Display" w:hAnsi="Aptos Display"/>
      <w:b/>
      <w:bCs/>
      <w:color w:val="17324D"/>
      <w:sz w:val="34"/>
      <w:szCs w:val="28"/>
    </w:rPr>
  </w:style>
  <w:style w:type="paragraph" w:styleId="Heading2">
    <w:name w:val="heading 2"/>
    <w:basedOn w:val="Normal"/>
    <w:next w:val="Normal"/>
    <w:link w:val="Heading2Char"/>
    <w:uiPriority w:val="9"/>
    <w:unhideWhenUsed/>
    <w:qFormat/>
    <w:rsid w:val="00FC693F"/>
    <w:pPr>
      <w:keepNext/>
      <w:keepLines/>
      <w:spacing w:before="240" w:after="100"/>
      <w:outlineLvl w:val="1"/>
    </w:pPr>
    <w:rPr>
      <w:rFonts w:asciiTheme="majorHAnsi" w:eastAsiaTheme="majorEastAsia" w:hAnsiTheme="majorHAnsi" w:cstheme="majorBidi" w:ascii="Aptos Display" w:hAnsi="Aptos Display"/>
      <w:b/>
      <w:bCs/>
      <w:color w:val="247B78"/>
      <w:sz w:val="27"/>
      <w:szCs w:val="26"/>
    </w:rPr>
  </w:style>
  <w:style w:type="paragraph" w:styleId="Heading3">
    <w:name w:val="heading 3"/>
    <w:basedOn w:val="Normal"/>
    <w:next w:val="Normal"/>
    <w:link w:val="Heading3Char"/>
    <w:uiPriority w:val="9"/>
    <w:unhideWhenUsed/>
    <w:qFormat/>
    <w:rsid w:val="00FC693F"/>
    <w:pPr>
      <w:keepNext/>
      <w:keepLines/>
      <w:spacing w:before="160" w:after="80"/>
      <w:outlineLvl w:val="2"/>
    </w:pPr>
    <w:rPr>
      <w:rFonts w:asciiTheme="majorHAnsi" w:eastAsiaTheme="majorEastAsia" w:hAnsiTheme="majorHAnsi" w:cstheme="majorBidi" w:ascii="Aptos" w:hAnsi="Aptos"/>
      <w:b/>
      <w:bCs/>
      <w:color w:val="568259"/>
      <w:sz w:val="23"/>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pBdr>
        <w:bottom w:val="single" w:sz="8" w:space="4" w:color="4F81BD" w:themeColor="accent1"/>
      </w:pBdr>
      <w:spacing w:after="160" w:line="240" w:lineRule="auto" w:before="0"/>
      <w:contextualSpacing/>
    </w:pPr>
    <w:rPr>
      <w:rFonts w:asciiTheme="majorHAnsi" w:eastAsiaTheme="majorEastAsia" w:hAnsiTheme="majorHAnsi" w:cstheme="majorBidi" w:ascii="Aptos Display" w:hAnsi="Aptos Display"/>
      <w:b/>
      <w:color w:val="17324D"/>
      <w:spacing w:val="5"/>
      <w:kern w:val="28"/>
      <w:sz w:val="5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keepNext/>
      <w:numPr>
        <w:ilvl w:val="1"/>
      </w:numPr>
      <w:spacing w:before="0" w:after="320"/>
    </w:pPr>
    <w:rPr>
      <w:rFonts w:asciiTheme="majorHAnsi" w:eastAsiaTheme="majorEastAsia" w:hAnsiTheme="majorHAnsi" w:cstheme="majorBidi" w:ascii="Aptos" w:hAnsi="Aptos"/>
      <w:b w:val="0"/>
      <w:i/>
      <w:iCs/>
      <w:color w:val="56616B"/>
      <w:spacing w:val="15"/>
      <w:sz w:val="26"/>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80" w:line="269" w:lineRule="auto"/>
      <w:ind w:left="547" w:hanging="274"/>
      <w:contextualSpacing/>
    </w:pPr>
    <w:rPr>
      <w:rFonts w:ascii="Aptos" w:hAnsi="Aptos"/>
      <w:sz w:val="21"/>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after="80" w:line="269" w:lineRule="auto"/>
      <w:ind w:left="547" w:hanging="274"/>
      <w:contextualSpacing/>
    </w:pPr>
    <w:rPr>
      <w:rFonts w:ascii="Aptos" w:hAnsi="Aptos"/>
      <w:sz w:val="21"/>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1.png"/><Relationship Id="rId12" Type="http://schemas.openxmlformats.org/officeDocument/2006/relationships/image" Target="media/image2.png"/><Relationship Id="rId13" Type="http://schemas.openxmlformats.org/officeDocument/2006/relationships/image" Target="media/image3.png"/><Relationship Id="rId14" Type="http://schemas.openxmlformats.org/officeDocument/2006/relationships/hyperlink" Target="https://apcentral.collegeboard.org/courses/ap-environmental-science" TargetMode="External"/><Relationship Id="rId15" Type="http://schemas.openxmlformats.org/officeDocument/2006/relationships/hyperlink" Target="https://www.nextgenscience.org/pe/hs-ess3-4-earth-and-human-activity" TargetMode="External"/><Relationship Id="rId16" Type="http://schemas.openxmlformats.org/officeDocument/2006/relationships/hyperlink" Target="https://www.nextgenscience.org/pe/hs-ess3-6-earth-and-human-activity" TargetMode="External"/><Relationship Id="rId17" Type="http://schemas.openxmlformats.org/officeDocument/2006/relationships/hyperlink" Target="https://www.nextgenscience.org/pe/hs-ls2-7-ecosystems-interactions-energy-and-dynamics" TargetMode="External"/><Relationship Id="rId18" Type="http://schemas.openxmlformats.org/officeDocument/2006/relationships/hyperlink" Target="https://www.faa.gov/uas/recreational_flyers" TargetMode="External"/><Relationship Id="rId19" Type="http://schemas.openxmlformats.org/officeDocument/2006/relationships/hyperlink" Target="https://www.usgs.gov/landsat-missions/landsat-data-access" TargetMode="External"/><Relationship Id="rId20" Type="http://schemas.openxmlformats.org/officeDocument/2006/relationships/hyperlink" Target="https://map.openaerialmap.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